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9BC1" w14:textId="77777777" w:rsidR="00896571" w:rsidRPr="00B3598C" w:rsidRDefault="00896571" w:rsidP="00896571">
      <w:pPr>
        <w:spacing w:line="276" w:lineRule="auto"/>
        <w:jc w:val="center"/>
        <w:rPr>
          <w:rFonts w:cs="Times New Roman"/>
        </w:rPr>
      </w:pPr>
      <w:r w:rsidRPr="00896571">
        <w:rPr>
          <w:rFonts w:cs="Times New Roman"/>
        </w:rPr>
        <w:t xml:space="preserve">Workshop: </w:t>
      </w:r>
    </w:p>
    <w:p w14:paraId="64AB6EEB" w14:textId="6F08EE6E" w:rsidR="00896571" w:rsidRPr="00932BA1" w:rsidRDefault="00077A5B" w:rsidP="00932BA1">
      <w:pPr>
        <w:pStyle w:val="NormalWeb"/>
        <w:spacing w:before="0" w:beforeAutospacing="0" w:after="0" w:afterAutospacing="0"/>
        <w:jc w:val="center"/>
        <w:rPr>
          <w:rFonts w:asciiTheme="minorHAnsi" w:hAnsiTheme="minorHAnsi" w:cstheme="minorHAnsi"/>
          <w:b/>
          <w:bCs/>
        </w:rPr>
      </w:pPr>
      <w:r>
        <w:rPr>
          <w:rFonts w:asciiTheme="minorHAnsi" w:hAnsiTheme="minorHAnsi"/>
          <w:b/>
          <w:bCs/>
        </w:rPr>
        <w:t>State Responsibility in Cr</w:t>
      </w:r>
      <w:r w:rsidR="006776DC">
        <w:rPr>
          <w:rFonts w:asciiTheme="minorHAnsi" w:hAnsiTheme="minorHAnsi"/>
          <w:b/>
          <w:bCs/>
        </w:rPr>
        <w:t>isis</w:t>
      </w:r>
    </w:p>
    <w:p w14:paraId="490BA40F" w14:textId="77777777" w:rsidR="00204DA5" w:rsidRDefault="00E84611" w:rsidP="00896571">
      <w:pPr>
        <w:spacing w:line="276" w:lineRule="auto"/>
        <w:jc w:val="center"/>
        <w:rPr>
          <w:rFonts w:cs="Times New Roman"/>
          <w:lang w:val="en-US"/>
        </w:rPr>
      </w:pPr>
      <w:r>
        <w:rPr>
          <w:rFonts w:cs="Times New Roman"/>
          <w:lang w:val="en-US"/>
        </w:rPr>
        <w:t>30</w:t>
      </w:r>
      <w:r w:rsidRPr="00E84611">
        <w:rPr>
          <w:rFonts w:cs="Times New Roman"/>
          <w:vertAlign w:val="superscript"/>
          <w:lang w:val="en-US"/>
        </w:rPr>
        <w:t>th</w:t>
      </w:r>
      <w:r>
        <w:rPr>
          <w:rFonts w:cs="Times New Roman"/>
          <w:lang w:val="en-US"/>
        </w:rPr>
        <w:t xml:space="preserve"> April- 1</w:t>
      </w:r>
      <w:r w:rsidRPr="00E84611">
        <w:rPr>
          <w:rFonts w:cs="Times New Roman"/>
          <w:vertAlign w:val="superscript"/>
          <w:lang w:val="en-US"/>
        </w:rPr>
        <w:t>st</w:t>
      </w:r>
      <w:r w:rsidR="00896571" w:rsidRPr="00B3598C">
        <w:rPr>
          <w:rFonts w:cs="Times New Roman"/>
          <w:lang w:val="en-US"/>
        </w:rPr>
        <w:t xml:space="preserve"> May 2026</w:t>
      </w:r>
    </w:p>
    <w:p w14:paraId="24F9DF1E" w14:textId="77777777" w:rsidR="00204DA5" w:rsidRDefault="00204DA5" w:rsidP="00896571">
      <w:pPr>
        <w:spacing w:line="276" w:lineRule="auto"/>
        <w:jc w:val="center"/>
        <w:rPr>
          <w:rFonts w:cs="Times New Roman"/>
          <w:lang w:val="en-US"/>
        </w:rPr>
      </w:pPr>
    </w:p>
    <w:p w14:paraId="1FCB257C" w14:textId="7FA62C2E" w:rsidR="00896571" w:rsidRPr="00B3598C" w:rsidRDefault="00896571" w:rsidP="00896571">
      <w:pPr>
        <w:spacing w:line="276" w:lineRule="auto"/>
        <w:jc w:val="center"/>
        <w:rPr>
          <w:rFonts w:cs="Times New Roman"/>
          <w:lang w:val="en-US"/>
        </w:rPr>
      </w:pPr>
      <w:r w:rsidRPr="00B3598C">
        <w:rPr>
          <w:rFonts w:cs="Times New Roman"/>
          <w:lang w:val="en-US"/>
        </w:rPr>
        <w:t xml:space="preserve">Law School, </w:t>
      </w:r>
      <w:r w:rsidR="00447056">
        <w:rPr>
          <w:rFonts w:cs="Times New Roman"/>
          <w:lang w:val="en-US"/>
        </w:rPr>
        <w:t xml:space="preserve">Centre for International Law and Human Rights Implementation Centre, </w:t>
      </w:r>
      <w:r w:rsidRPr="00B3598C">
        <w:rPr>
          <w:rFonts w:cs="Times New Roman"/>
          <w:lang w:val="en-US"/>
        </w:rPr>
        <w:t>University of Bristol, UK</w:t>
      </w:r>
    </w:p>
    <w:p w14:paraId="4F69C00A" w14:textId="77777777" w:rsidR="00896571" w:rsidRPr="00B3598C" w:rsidRDefault="00896571" w:rsidP="00896571">
      <w:pPr>
        <w:spacing w:line="276" w:lineRule="auto"/>
        <w:jc w:val="center"/>
        <w:rPr>
          <w:rFonts w:cs="Times New Roman"/>
          <w:lang w:val="en-US"/>
        </w:rPr>
      </w:pPr>
    </w:p>
    <w:p w14:paraId="26F9301A" w14:textId="67451694" w:rsidR="00896571" w:rsidRPr="00B3598C" w:rsidRDefault="00896571" w:rsidP="00896571">
      <w:pPr>
        <w:spacing w:line="276" w:lineRule="auto"/>
        <w:rPr>
          <w:rFonts w:cs="Times New Roman"/>
          <w:b/>
          <w:bCs/>
          <w:lang w:val="en-US"/>
        </w:rPr>
      </w:pPr>
      <w:proofErr w:type="spellStart"/>
      <w:r w:rsidRPr="00B3598C">
        <w:rPr>
          <w:rFonts w:cs="Times New Roman"/>
          <w:b/>
          <w:bCs/>
          <w:lang w:val="en-US"/>
        </w:rPr>
        <w:t>Organiser</w:t>
      </w:r>
      <w:proofErr w:type="spellEnd"/>
    </w:p>
    <w:p w14:paraId="4C8FCCDC" w14:textId="6650E2F3" w:rsidR="00896571" w:rsidRPr="00B3598C" w:rsidRDefault="00896571" w:rsidP="00B41649">
      <w:pPr>
        <w:rPr>
          <w:rFonts w:cs="Times New Roman"/>
          <w:lang w:val="en-US"/>
        </w:rPr>
      </w:pPr>
      <w:r w:rsidRPr="00B3598C">
        <w:rPr>
          <w:rFonts w:cs="Times New Roman"/>
        </w:rPr>
        <w:t>Kathryn Allinson, Senior Lecturer in Law</w:t>
      </w:r>
      <w:r w:rsidR="005159B3">
        <w:rPr>
          <w:rFonts w:cs="Times New Roman"/>
        </w:rPr>
        <w:t xml:space="preserve"> and Co-Director of the Human Rights Implementation Centre</w:t>
      </w:r>
      <w:r w:rsidRPr="00B3598C">
        <w:rPr>
          <w:rFonts w:cs="Times New Roman"/>
        </w:rPr>
        <w:t xml:space="preserve">, University of Bristol, </w:t>
      </w:r>
      <w:hyperlink r:id="rId7" w:history="1">
        <w:r w:rsidRPr="00B3598C">
          <w:rPr>
            <w:rStyle w:val="Hyperlink"/>
            <w:rFonts w:cs="Times New Roman"/>
          </w:rPr>
          <w:t>Kathryn.allinson@bristol.ac.uk</w:t>
        </w:r>
      </w:hyperlink>
      <w:r w:rsidRPr="00B3598C">
        <w:rPr>
          <w:rFonts w:cs="Times New Roman"/>
        </w:rPr>
        <w:t xml:space="preserve"> </w:t>
      </w:r>
    </w:p>
    <w:p w14:paraId="43B2E033" w14:textId="77777777" w:rsidR="00896571" w:rsidRPr="00B3598C" w:rsidRDefault="00896571" w:rsidP="00896571">
      <w:pPr>
        <w:pStyle w:val="Heading1"/>
        <w:spacing w:line="276" w:lineRule="auto"/>
        <w:ind w:left="432" w:hanging="432"/>
        <w:jc w:val="both"/>
        <w:rPr>
          <w:rFonts w:asciiTheme="minorHAnsi" w:hAnsiTheme="minorHAnsi" w:cs="Times New Roman"/>
          <w:b/>
          <w:bCs/>
          <w:color w:val="000000" w:themeColor="text1"/>
          <w:sz w:val="24"/>
          <w:szCs w:val="24"/>
          <w:lang w:val="en-US"/>
        </w:rPr>
      </w:pPr>
      <w:r w:rsidRPr="00B3598C">
        <w:rPr>
          <w:rFonts w:asciiTheme="minorHAnsi" w:hAnsiTheme="minorHAnsi" w:cs="Times New Roman"/>
          <w:b/>
          <w:bCs/>
          <w:color w:val="000000" w:themeColor="text1"/>
          <w:sz w:val="24"/>
          <w:szCs w:val="24"/>
          <w:lang w:val="en-US"/>
        </w:rPr>
        <w:t>Background</w:t>
      </w:r>
    </w:p>
    <w:p w14:paraId="5D0ABDA4" w14:textId="0E376355" w:rsidR="0033770E" w:rsidRDefault="00993F48" w:rsidP="00896571">
      <w:pPr>
        <w:jc w:val="both"/>
        <w:rPr>
          <w:rFonts w:cstheme="minorHAnsi"/>
          <w:color w:val="000000" w:themeColor="text1"/>
        </w:rPr>
      </w:pPr>
      <w:r>
        <w:rPr>
          <w:rFonts w:cstheme="minorHAnsi"/>
          <w:color w:val="000000" w:themeColor="text1"/>
        </w:rPr>
        <w:t xml:space="preserve">The law on state responsibility functions amidst various global crises, including armed conflicts, climate change, and increasing displacement. </w:t>
      </w:r>
      <w:r w:rsidR="0033770E" w:rsidRPr="00352F85">
        <w:rPr>
          <w:rFonts w:cstheme="minorHAnsi"/>
          <w:color w:val="000000" w:themeColor="text1"/>
        </w:rPr>
        <w:t>At the same time, the world has become more interconnected, with States frequently conducting activities in concert with other nations, international organisations, or private companies,</w:t>
      </w:r>
      <w:r w:rsidR="006F2EF0" w:rsidRPr="00352F85">
        <w:rPr>
          <w:rFonts w:cstheme="minorHAnsi"/>
          <w:color w:val="000000" w:themeColor="text1"/>
        </w:rPr>
        <w:t xml:space="preserve"> blurring questions of attribution,</w:t>
      </w:r>
      <w:r w:rsidR="000D1587" w:rsidRPr="00352F85">
        <w:rPr>
          <w:rFonts w:cstheme="minorHAnsi"/>
          <w:color w:val="000000" w:themeColor="text1"/>
        </w:rPr>
        <w:t xml:space="preserve"> breach, fault and causation</w:t>
      </w:r>
      <w:r w:rsidR="0033770E" w:rsidRPr="00352F85">
        <w:rPr>
          <w:rFonts w:cstheme="minorHAnsi"/>
          <w:color w:val="000000" w:themeColor="text1"/>
        </w:rPr>
        <w:t xml:space="preserve">. This workshop </w:t>
      </w:r>
      <w:r w:rsidR="00F04599" w:rsidRPr="00352F85">
        <w:rPr>
          <w:rFonts w:cstheme="minorHAnsi"/>
          <w:color w:val="000000" w:themeColor="text1"/>
        </w:rPr>
        <w:t xml:space="preserve">will </w:t>
      </w:r>
      <w:r w:rsidR="0033770E" w:rsidRPr="00352F85">
        <w:rPr>
          <w:rFonts w:cstheme="minorHAnsi"/>
          <w:color w:val="000000" w:themeColor="text1"/>
        </w:rPr>
        <w:t>ex</w:t>
      </w:r>
      <w:r w:rsidR="00327BDF" w:rsidRPr="00352F85">
        <w:rPr>
          <w:rFonts w:cstheme="minorHAnsi"/>
          <w:color w:val="000000" w:themeColor="text1"/>
        </w:rPr>
        <w:t>amin</w:t>
      </w:r>
      <w:r w:rsidR="0033770E" w:rsidRPr="00352F85">
        <w:rPr>
          <w:rFonts w:cstheme="minorHAnsi"/>
          <w:color w:val="000000" w:themeColor="text1"/>
        </w:rPr>
        <w:t>e whether the secondary law</w:t>
      </w:r>
      <w:r w:rsidR="006755FC" w:rsidRPr="00352F85">
        <w:rPr>
          <w:rFonts w:cstheme="minorHAnsi"/>
          <w:color w:val="000000" w:themeColor="text1"/>
        </w:rPr>
        <w:t xml:space="preserve"> </w:t>
      </w:r>
      <w:r w:rsidR="0033770E" w:rsidRPr="00352F85">
        <w:rPr>
          <w:rFonts w:cstheme="minorHAnsi"/>
          <w:color w:val="000000" w:themeColor="text1"/>
        </w:rPr>
        <w:t xml:space="preserve">governing state responsibility </w:t>
      </w:r>
      <w:r w:rsidR="000D1587" w:rsidRPr="00352F85">
        <w:rPr>
          <w:rFonts w:cstheme="minorHAnsi"/>
          <w:color w:val="000000" w:themeColor="text1"/>
        </w:rPr>
        <w:t xml:space="preserve">can </w:t>
      </w:r>
      <w:r w:rsidR="00327BDF" w:rsidRPr="00352F85">
        <w:rPr>
          <w:rFonts w:cstheme="minorHAnsi"/>
          <w:color w:val="000000" w:themeColor="text1"/>
        </w:rPr>
        <w:t xml:space="preserve">effectively </w:t>
      </w:r>
      <w:r w:rsidR="000D1587" w:rsidRPr="00352F85">
        <w:rPr>
          <w:rFonts w:cstheme="minorHAnsi"/>
          <w:color w:val="000000" w:themeColor="text1"/>
        </w:rPr>
        <w:t>respond to th</w:t>
      </w:r>
      <w:r w:rsidR="005159B3">
        <w:rPr>
          <w:rFonts w:cstheme="minorHAnsi"/>
          <w:color w:val="000000" w:themeColor="text1"/>
        </w:rPr>
        <w:t>e</w:t>
      </w:r>
      <w:r w:rsidR="000D1587" w:rsidRPr="00352F85">
        <w:rPr>
          <w:rFonts w:cstheme="minorHAnsi"/>
          <w:color w:val="000000" w:themeColor="text1"/>
        </w:rPr>
        <w:t xml:space="preserve"> </w:t>
      </w:r>
      <w:r w:rsidR="00382CB7" w:rsidRPr="00352F85">
        <w:rPr>
          <w:rFonts w:cstheme="minorHAnsi"/>
          <w:color w:val="000000" w:themeColor="text1"/>
        </w:rPr>
        <w:t>globalised, multilateral context</w:t>
      </w:r>
      <w:r w:rsidR="005159B3">
        <w:rPr>
          <w:rFonts w:cstheme="minorHAnsi"/>
          <w:color w:val="000000" w:themeColor="text1"/>
        </w:rPr>
        <w:t>,</w:t>
      </w:r>
      <w:r w:rsidR="0033770E" w:rsidRPr="00352F85">
        <w:rPr>
          <w:rFonts w:cstheme="minorHAnsi"/>
          <w:color w:val="000000" w:themeColor="text1"/>
        </w:rPr>
        <w:t xml:space="preserve"> or </w:t>
      </w:r>
      <w:r w:rsidR="005159B3">
        <w:rPr>
          <w:rFonts w:cstheme="minorHAnsi"/>
          <w:color w:val="000000" w:themeColor="text1"/>
        </w:rPr>
        <w:t>whether</w:t>
      </w:r>
      <w:r w:rsidR="0033770E" w:rsidRPr="00352F85">
        <w:rPr>
          <w:rFonts w:cstheme="minorHAnsi"/>
          <w:color w:val="000000" w:themeColor="text1"/>
        </w:rPr>
        <w:t xml:space="preserve"> the regime </w:t>
      </w:r>
      <w:r w:rsidR="00F04599" w:rsidRPr="00352F85">
        <w:rPr>
          <w:rFonts w:cstheme="minorHAnsi"/>
          <w:color w:val="000000" w:themeColor="text1"/>
        </w:rPr>
        <w:t xml:space="preserve">itself </w:t>
      </w:r>
      <w:r w:rsidR="0033770E" w:rsidRPr="00352F85">
        <w:rPr>
          <w:rFonts w:cstheme="minorHAnsi"/>
          <w:color w:val="000000" w:themeColor="text1"/>
        </w:rPr>
        <w:t xml:space="preserve">is facing a crisis. </w:t>
      </w:r>
    </w:p>
    <w:p w14:paraId="2721AAB1" w14:textId="77777777" w:rsidR="005159B3" w:rsidRPr="00352F85" w:rsidRDefault="005159B3" w:rsidP="00896571">
      <w:pPr>
        <w:jc w:val="both"/>
        <w:rPr>
          <w:rFonts w:cstheme="minorHAnsi"/>
          <w:color w:val="000000" w:themeColor="text1"/>
        </w:rPr>
      </w:pPr>
    </w:p>
    <w:p w14:paraId="083680C8" w14:textId="4C312350" w:rsidR="00337E8C" w:rsidRDefault="00586DCE" w:rsidP="00896571">
      <w:pPr>
        <w:jc w:val="both"/>
        <w:rPr>
          <w:rFonts w:cs="Helvetica"/>
          <w:color w:val="000000" w:themeColor="text1"/>
          <w:kern w:val="0"/>
        </w:rPr>
      </w:pPr>
      <w:r w:rsidRPr="00586DCE">
        <w:rPr>
          <w:rFonts w:cs="Helvetica"/>
          <w:color w:val="000000" w:themeColor="text1"/>
          <w:kern w:val="0"/>
        </w:rPr>
        <w:t>The law of state responsibility originally emerged from practice arising from mainly bilateral disputes. The initial concept of state responsibility was built on a bilateral framework, reflecting inter-state claims resulting from direct injury. The practice underpinning the ILC Articles on State Responsibility largely originated from this reciprocal model, rather than from the collective interests that characterise</w:t>
      </w:r>
      <w:r w:rsidR="00AB388D">
        <w:rPr>
          <w:rFonts w:cs="Helvetica"/>
          <w:color w:val="000000" w:themeColor="text1"/>
          <w:kern w:val="0"/>
        </w:rPr>
        <w:t xml:space="preserve"> much of</w:t>
      </w:r>
      <w:r w:rsidRPr="00586DCE">
        <w:rPr>
          <w:rFonts w:cs="Helvetica"/>
          <w:color w:val="000000" w:themeColor="text1"/>
          <w:kern w:val="0"/>
        </w:rPr>
        <w:t xml:space="preserve"> modern international law.</w:t>
      </w:r>
      <w:r w:rsidR="00C21CA1">
        <w:rPr>
          <w:rStyle w:val="FootnoteReference"/>
          <w:rFonts w:cs="Helvetica"/>
          <w:color w:val="000000" w:themeColor="text1"/>
          <w:kern w:val="0"/>
        </w:rPr>
        <w:footnoteReference w:id="1"/>
      </w:r>
      <w:r w:rsidRPr="00586DCE">
        <w:rPr>
          <w:rFonts w:cs="Helvetica"/>
          <w:color w:val="000000" w:themeColor="text1"/>
          <w:kern w:val="0"/>
        </w:rPr>
        <w:t xml:space="preserve"> Today, the major issues we face—those that states have willingly included within international legal regulation—rarely pertain to bilateral relations. Instead, we encounter concepts such as ‘</w:t>
      </w:r>
      <w:proofErr w:type="spellStart"/>
      <w:r w:rsidRPr="00586DCE">
        <w:rPr>
          <w:rFonts w:cs="Helvetica"/>
          <w:color w:val="000000" w:themeColor="text1"/>
          <w:kern w:val="0"/>
        </w:rPr>
        <w:t>multilateralisation</w:t>
      </w:r>
      <w:proofErr w:type="spellEnd"/>
      <w:r w:rsidRPr="00586DCE">
        <w:rPr>
          <w:rFonts w:cs="Helvetica"/>
          <w:color w:val="000000" w:themeColor="text1"/>
          <w:kern w:val="0"/>
        </w:rPr>
        <w:t xml:space="preserve">’, global commons, and community interests. This raises questions about how the secondary rules on state responsibility </w:t>
      </w:r>
      <w:r w:rsidR="00B0377F">
        <w:rPr>
          <w:rFonts w:cs="Helvetica"/>
          <w:color w:val="000000" w:themeColor="text1"/>
          <w:kern w:val="0"/>
        </w:rPr>
        <w:t>can respond to</w:t>
      </w:r>
      <w:r w:rsidRPr="00586DCE">
        <w:rPr>
          <w:rFonts w:cs="Helvetica"/>
          <w:color w:val="000000" w:themeColor="text1"/>
          <w:kern w:val="0"/>
        </w:rPr>
        <w:t xml:space="preserve"> current realities</w:t>
      </w:r>
      <w:r w:rsidR="00EC2592">
        <w:rPr>
          <w:rFonts w:cs="Helvetica"/>
          <w:color w:val="000000" w:themeColor="text1"/>
          <w:kern w:val="0"/>
        </w:rPr>
        <w:t>, as it is</w:t>
      </w:r>
      <w:r w:rsidR="00EC2592" w:rsidRPr="00B0377F">
        <w:rPr>
          <w:rFonts w:cs="Helvetica"/>
          <w:color w:val="000000" w:themeColor="text1"/>
          <w:kern w:val="0"/>
        </w:rPr>
        <w:t xml:space="preserve"> with respect to the</w:t>
      </w:r>
      <w:r w:rsidR="00C21CA1">
        <w:rPr>
          <w:rFonts w:cs="Helvetica"/>
          <w:color w:val="000000" w:themeColor="text1"/>
          <w:kern w:val="0"/>
        </w:rPr>
        <w:t>se</w:t>
      </w:r>
      <w:r w:rsidR="00EC2592" w:rsidRPr="00B0377F">
        <w:rPr>
          <w:rFonts w:cs="Helvetica"/>
          <w:color w:val="000000" w:themeColor="text1"/>
          <w:kern w:val="0"/>
        </w:rPr>
        <w:t xml:space="preserve"> rules </w:t>
      </w:r>
      <w:r w:rsidR="00C21CA1">
        <w:rPr>
          <w:rFonts w:cs="Helvetica"/>
          <w:color w:val="000000" w:themeColor="text1"/>
          <w:kern w:val="0"/>
        </w:rPr>
        <w:t>that</w:t>
      </w:r>
      <w:r w:rsidR="00EC2592" w:rsidRPr="00B0377F">
        <w:rPr>
          <w:rFonts w:cs="Helvetica"/>
          <w:color w:val="000000" w:themeColor="text1"/>
          <w:kern w:val="0"/>
        </w:rPr>
        <w:t xml:space="preserve"> much of the contestation and challenge arise</w:t>
      </w:r>
      <w:r w:rsidR="00EC2592">
        <w:rPr>
          <w:rFonts w:cs="Helvetica"/>
          <w:color w:val="000000" w:themeColor="text1"/>
          <w:kern w:val="0"/>
        </w:rPr>
        <w:t xml:space="preserve">. </w:t>
      </w:r>
      <w:r w:rsidRPr="00586DCE">
        <w:rPr>
          <w:rFonts w:cs="Helvetica"/>
          <w:color w:val="000000" w:themeColor="text1"/>
          <w:kern w:val="0"/>
        </w:rPr>
        <w:t>It leads to debates over armed conflicts involving multiple coordinated actions and responsibilities, the complex causation of climate change, and the allocation of responsibility within human rights and refugee law. Responsibility—both in practice and in law—in all these areas now appears far more complex than in the historical context that shaped the rules on state responsibility.</w:t>
      </w:r>
      <w:r w:rsidR="00B0377F">
        <w:rPr>
          <w:rFonts w:cs="Helvetica"/>
          <w:color w:val="000000" w:themeColor="text1"/>
          <w:kern w:val="0"/>
        </w:rPr>
        <w:t xml:space="preserve"> </w:t>
      </w:r>
    </w:p>
    <w:p w14:paraId="53DF3428" w14:textId="77777777" w:rsidR="00586DCE" w:rsidRPr="00352F85" w:rsidRDefault="00586DCE" w:rsidP="00896571">
      <w:pPr>
        <w:jc w:val="both"/>
        <w:rPr>
          <w:rFonts w:cstheme="minorHAnsi"/>
          <w:color w:val="000000" w:themeColor="text1"/>
        </w:rPr>
      </w:pPr>
    </w:p>
    <w:p w14:paraId="141F76AA" w14:textId="2A5D7072" w:rsidR="00432762" w:rsidRPr="00352F85" w:rsidRDefault="002353C4" w:rsidP="00896571">
      <w:pPr>
        <w:jc w:val="both"/>
        <w:rPr>
          <w:rFonts w:cstheme="minorHAnsi"/>
          <w:color w:val="000000" w:themeColor="text1"/>
        </w:rPr>
      </w:pPr>
      <w:r w:rsidRPr="00352F85">
        <w:rPr>
          <w:rFonts w:cstheme="minorHAnsi"/>
          <w:color w:val="000000" w:themeColor="text1"/>
        </w:rPr>
        <w:t xml:space="preserve">Armed conflicts remain widespread and devastating. However, these are rarely purely bilateral territorial disputes between States; instead, they are often ‘new’ wars characterised by asymmetric power dynamics, leading to increasingly urbanised conflicts, often involving states and non-state armed groups with an ‘internationalised’ </w:t>
      </w:r>
      <w:r w:rsidRPr="00352F85">
        <w:rPr>
          <w:rFonts w:cstheme="minorHAnsi"/>
          <w:color w:val="000000" w:themeColor="text1"/>
        </w:rPr>
        <w:lastRenderedPageBreak/>
        <w:t>element</w:t>
      </w:r>
      <w:r w:rsidR="00520722" w:rsidRPr="00352F85">
        <w:rPr>
          <w:rFonts w:cstheme="minorHAnsi"/>
          <w:color w:val="000000" w:themeColor="text1"/>
        </w:rPr>
        <w:t>.</w:t>
      </w:r>
      <w:r w:rsidR="00520722" w:rsidRPr="00352F85">
        <w:rPr>
          <w:rStyle w:val="FootnoteReference"/>
          <w:rFonts w:cstheme="minorHAnsi"/>
          <w:color w:val="000000" w:themeColor="text1"/>
        </w:rPr>
        <w:footnoteReference w:id="2"/>
      </w:r>
      <w:r w:rsidR="00520722" w:rsidRPr="00352F85">
        <w:rPr>
          <w:rFonts w:cstheme="minorHAnsi"/>
          <w:color w:val="000000" w:themeColor="text1"/>
        </w:rPr>
        <w:t xml:space="preserve"> </w:t>
      </w:r>
      <w:r w:rsidR="00100576" w:rsidRPr="00352F85">
        <w:rPr>
          <w:rFonts w:cstheme="minorHAnsi"/>
          <w:color w:val="000000" w:themeColor="text1"/>
        </w:rPr>
        <w:t xml:space="preserve">Consequently, modern conflicts involve multiple states, whether as parties to the conflict, supporting states </w:t>
      </w:r>
      <w:r w:rsidR="0076590F" w:rsidRPr="00352F85">
        <w:rPr>
          <w:rFonts w:cstheme="minorHAnsi"/>
          <w:color w:val="000000" w:themeColor="text1"/>
        </w:rPr>
        <w:t>without</w:t>
      </w:r>
      <w:r w:rsidR="00100576" w:rsidRPr="00352F85">
        <w:rPr>
          <w:rFonts w:cstheme="minorHAnsi"/>
          <w:color w:val="000000" w:themeColor="text1"/>
        </w:rPr>
        <w:t xml:space="preserve"> party status, exporting nations supplying weapons, conducting peacekeeping missions, or </w:t>
      </w:r>
      <w:r w:rsidR="0076590F" w:rsidRPr="00352F85">
        <w:rPr>
          <w:rFonts w:cstheme="minorHAnsi"/>
          <w:color w:val="000000" w:themeColor="text1"/>
        </w:rPr>
        <w:t xml:space="preserve">engaging in </w:t>
      </w:r>
      <w:r w:rsidR="00100576" w:rsidRPr="00352F85">
        <w:rPr>
          <w:rFonts w:cstheme="minorHAnsi"/>
          <w:color w:val="000000" w:themeColor="text1"/>
        </w:rPr>
        <w:t xml:space="preserve">privatised operations (such as aid distribution in Gaza). However, joint and multilateral operations frequently obscure clear lines of attribution. Additionally, conflict extends into the digital domain through cyber warfare and the increasing use of AI, which further complicates attribution. </w:t>
      </w:r>
    </w:p>
    <w:p w14:paraId="2B921E18" w14:textId="77777777" w:rsidR="00520722" w:rsidRPr="00352F85" w:rsidRDefault="00520722" w:rsidP="00896571">
      <w:pPr>
        <w:jc w:val="both"/>
        <w:rPr>
          <w:rFonts w:cstheme="minorHAnsi"/>
          <w:color w:val="000000" w:themeColor="text1"/>
        </w:rPr>
      </w:pPr>
    </w:p>
    <w:p w14:paraId="343724C2" w14:textId="3AD3C4A1" w:rsidR="00432762" w:rsidRPr="00352F85" w:rsidRDefault="009A336F" w:rsidP="00896571">
      <w:pPr>
        <w:jc w:val="both"/>
        <w:rPr>
          <w:rFonts w:cstheme="minorHAnsi"/>
          <w:color w:val="000000" w:themeColor="text1"/>
        </w:rPr>
      </w:pPr>
      <w:r w:rsidRPr="00352F85">
        <w:rPr>
          <w:rFonts w:cstheme="minorHAnsi"/>
          <w:color w:val="000000" w:themeColor="text1"/>
        </w:rPr>
        <w:t xml:space="preserve">At the same time, climate change presents a new global challenge that </w:t>
      </w:r>
      <w:r w:rsidR="008B3787">
        <w:rPr>
          <w:rFonts w:cstheme="minorHAnsi"/>
          <w:color w:val="000000" w:themeColor="text1"/>
        </w:rPr>
        <w:t>transcend</w:t>
      </w:r>
      <w:r w:rsidRPr="00352F85">
        <w:rPr>
          <w:rFonts w:cstheme="minorHAnsi"/>
          <w:color w:val="000000" w:themeColor="text1"/>
        </w:rPr>
        <w:t xml:space="preserve">s borders </w:t>
      </w:r>
      <w:r w:rsidR="008B3787">
        <w:rPr>
          <w:rFonts w:cstheme="minorHAnsi"/>
          <w:color w:val="000000" w:themeColor="text1"/>
        </w:rPr>
        <w:t>and has</w:t>
      </w:r>
      <w:r w:rsidRPr="00352F85">
        <w:rPr>
          <w:rFonts w:cstheme="minorHAnsi"/>
          <w:color w:val="000000" w:themeColor="text1"/>
        </w:rPr>
        <w:t xml:space="preserve"> widespread consequences. Its effects </w:t>
      </w:r>
      <w:r w:rsidR="00E461E8" w:rsidRPr="00352F85">
        <w:rPr>
          <w:rFonts w:cstheme="minorHAnsi"/>
          <w:color w:val="000000" w:themeColor="text1"/>
        </w:rPr>
        <w:t>exacerbate</w:t>
      </w:r>
      <w:r w:rsidRPr="00352F85">
        <w:rPr>
          <w:rFonts w:cstheme="minorHAnsi"/>
          <w:color w:val="000000" w:themeColor="text1"/>
        </w:rPr>
        <w:t xml:space="preserve"> existing inequalities, </w:t>
      </w:r>
      <w:r w:rsidR="00E461E8" w:rsidRPr="00352F85">
        <w:rPr>
          <w:rFonts w:cstheme="minorHAnsi"/>
          <w:color w:val="000000" w:themeColor="text1"/>
        </w:rPr>
        <w:t>widen</w:t>
      </w:r>
      <w:r w:rsidRPr="00352F85">
        <w:rPr>
          <w:rFonts w:cstheme="minorHAnsi"/>
          <w:color w:val="000000" w:themeColor="text1"/>
        </w:rPr>
        <w:t xml:space="preserve">ing </w:t>
      </w:r>
      <w:r w:rsidR="00E461E8" w:rsidRPr="00352F85">
        <w:rPr>
          <w:rFonts w:cstheme="minorHAnsi"/>
          <w:color w:val="000000" w:themeColor="text1"/>
        </w:rPr>
        <w:t>the divide</w:t>
      </w:r>
      <w:r w:rsidRPr="00352F85">
        <w:rPr>
          <w:rFonts w:cstheme="minorHAnsi"/>
          <w:color w:val="000000" w:themeColor="text1"/>
        </w:rPr>
        <w:t xml:space="preserve"> between developed and developing nations, with the most vulnerable </w:t>
      </w:r>
      <w:r w:rsidR="00E461E8" w:rsidRPr="00352F85">
        <w:rPr>
          <w:rFonts w:cstheme="minorHAnsi"/>
          <w:color w:val="000000" w:themeColor="text1"/>
        </w:rPr>
        <w:t xml:space="preserve">populations </w:t>
      </w:r>
      <w:r w:rsidRPr="00352F85">
        <w:rPr>
          <w:rFonts w:cstheme="minorHAnsi"/>
          <w:color w:val="000000" w:themeColor="text1"/>
        </w:rPr>
        <w:t>bearing the brunt</w:t>
      </w:r>
      <w:r w:rsidR="00423297" w:rsidRPr="00352F85">
        <w:rPr>
          <w:rFonts w:cstheme="minorHAnsi"/>
          <w:color w:val="000000" w:themeColor="text1"/>
        </w:rPr>
        <w:t xml:space="preserve"> of the impact</w:t>
      </w:r>
      <w:r w:rsidRPr="00352F85">
        <w:rPr>
          <w:rFonts w:cstheme="minorHAnsi"/>
          <w:color w:val="000000" w:themeColor="text1"/>
        </w:rPr>
        <w:t>.</w:t>
      </w:r>
      <w:r w:rsidR="00A14754" w:rsidRPr="00352F85">
        <w:rPr>
          <w:rStyle w:val="FootnoteReference"/>
          <w:rFonts w:cstheme="minorHAnsi"/>
          <w:color w:val="000000" w:themeColor="text1"/>
        </w:rPr>
        <w:footnoteReference w:id="3"/>
      </w:r>
      <w:r w:rsidR="00E60AD2" w:rsidRPr="00352F85">
        <w:rPr>
          <w:rFonts w:cstheme="minorHAnsi"/>
          <w:color w:val="000000" w:themeColor="text1"/>
        </w:rPr>
        <w:t xml:space="preserve"> </w:t>
      </w:r>
      <w:r w:rsidR="00F30A59" w:rsidRPr="00352F85">
        <w:rPr>
          <w:rFonts w:cstheme="minorHAnsi"/>
          <w:color w:val="000000" w:themeColor="text1"/>
        </w:rPr>
        <w:t>Questions about responsibility for causing climate change, the concept of 'common but differentiated responsibilities,’ and ‘loss and damage', remain central to debates on how the world can address the effects of climate change.</w:t>
      </w:r>
      <w:r w:rsidR="00BE4401" w:rsidRPr="00352F85">
        <w:rPr>
          <w:rStyle w:val="FootnoteReference"/>
          <w:rFonts w:cstheme="minorHAnsi"/>
          <w:color w:val="000000" w:themeColor="text1"/>
        </w:rPr>
        <w:footnoteReference w:id="4"/>
      </w:r>
      <w:r w:rsidR="000E2E70" w:rsidRPr="00352F85">
        <w:rPr>
          <w:rFonts w:cstheme="minorHAnsi"/>
          <w:color w:val="000000" w:themeColor="text1"/>
        </w:rPr>
        <w:t xml:space="preserve"> </w:t>
      </w:r>
      <w:r w:rsidR="00316F49" w:rsidRPr="00352F85">
        <w:rPr>
          <w:rFonts w:cstheme="minorHAnsi"/>
          <w:color w:val="000000" w:themeColor="text1"/>
        </w:rPr>
        <w:t xml:space="preserve">Further, </w:t>
      </w:r>
      <w:r w:rsidR="00423297" w:rsidRPr="00352F85">
        <w:rPr>
          <w:rFonts w:cstheme="minorHAnsi"/>
          <w:color w:val="000000" w:themeColor="text1"/>
        </w:rPr>
        <w:t xml:space="preserve">the issue of </w:t>
      </w:r>
      <w:r w:rsidR="0064391C" w:rsidRPr="00352F85">
        <w:rPr>
          <w:rFonts w:cstheme="minorHAnsi"/>
          <w:color w:val="000000" w:themeColor="text1"/>
        </w:rPr>
        <w:t xml:space="preserve">how Courts can attribute </w:t>
      </w:r>
      <w:r w:rsidR="0043412A" w:rsidRPr="00352F85">
        <w:rPr>
          <w:rFonts w:cstheme="minorHAnsi"/>
          <w:color w:val="000000" w:themeColor="text1"/>
        </w:rPr>
        <w:t>the causes of</w:t>
      </w:r>
      <w:r w:rsidR="00423297" w:rsidRPr="00352F85">
        <w:rPr>
          <w:rFonts w:cstheme="minorHAnsi"/>
          <w:color w:val="000000" w:themeColor="text1"/>
        </w:rPr>
        <w:t xml:space="preserve"> </w:t>
      </w:r>
      <w:r w:rsidR="00316F49" w:rsidRPr="00352F85">
        <w:rPr>
          <w:rFonts w:cstheme="minorHAnsi"/>
          <w:color w:val="000000" w:themeColor="text1"/>
        </w:rPr>
        <w:t>climate change</w:t>
      </w:r>
      <w:r w:rsidR="00423297" w:rsidRPr="00352F85">
        <w:rPr>
          <w:rFonts w:cstheme="minorHAnsi"/>
          <w:color w:val="000000" w:themeColor="text1"/>
        </w:rPr>
        <w:t xml:space="preserve"> </w:t>
      </w:r>
      <w:r w:rsidR="00FB31B9" w:rsidRPr="00352F85">
        <w:rPr>
          <w:rFonts w:cstheme="minorHAnsi"/>
          <w:color w:val="000000" w:themeColor="text1"/>
        </w:rPr>
        <w:t>remains a barrier to ensuring state responsibility</w:t>
      </w:r>
      <w:r w:rsidR="00316F49" w:rsidRPr="00352F85">
        <w:rPr>
          <w:rFonts w:cstheme="minorHAnsi"/>
          <w:color w:val="000000" w:themeColor="text1"/>
        </w:rPr>
        <w:t>.</w:t>
      </w:r>
      <w:r w:rsidR="00316F49" w:rsidRPr="00352F85">
        <w:rPr>
          <w:rStyle w:val="FootnoteReference"/>
          <w:rFonts w:cstheme="minorHAnsi"/>
          <w:color w:val="000000" w:themeColor="text1"/>
        </w:rPr>
        <w:footnoteReference w:id="5"/>
      </w:r>
      <w:r w:rsidR="00316F49" w:rsidRPr="00352F85">
        <w:rPr>
          <w:rFonts w:cstheme="minorHAnsi"/>
          <w:color w:val="000000" w:themeColor="text1"/>
        </w:rPr>
        <w:t xml:space="preserve"> </w:t>
      </w:r>
      <w:r w:rsidR="001D6EC0">
        <w:rPr>
          <w:rFonts w:cstheme="minorHAnsi"/>
          <w:color w:val="000000" w:themeColor="text1"/>
        </w:rPr>
        <w:t>Recent</w:t>
      </w:r>
      <w:r w:rsidR="00C62BD2" w:rsidRPr="00352F85">
        <w:rPr>
          <w:rFonts w:cstheme="minorHAnsi"/>
          <w:color w:val="000000" w:themeColor="text1"/>
        </w:rPr>
        <w:t xml:space="preserve"> ECtHR case</w:t>
      </w:r>
      <w:r w:rsidR="001D6EC0">
        <w:rPr>
          <w:rFonts w:cstheme="minorHAnsi"/>
          <w:color w:val="000000" w:themeColor="text1"/>
        </w:rPr>
        <w:t>s</w:t>
      </w:r>
      <w:r w:rsidR="00C62BD2" w:rsidRPr="00352F85">
        <w:rPr>
          <w:rFonts w:cstheme="minorHAnsi"/>
          <w:color w:val="000000" w:themeColor="text1"/>
        </w:rPr>
        <w:t xml:space="preserve"> </w:t>
      </w:r>
      <w:r w:rsidR="00C62BD2" w:rsidRPr="00352F85">
        <w:rPr>
          <w:rFonts w:cstheme="minorHAnsi"/>
          <w:color w:val="000000" w:themeColor="text1"/>
          <w:kern w:val="0"/>
          <w14:ligatures w14:val="none"/>
        </w:rPr>
        <w:t xml:space="preserve">illustrate the challenges human rights courts face in addressing </w:t>
      </w:r>
      <w:r w:rsidR="00C62BD2" w:rsidRPr="00352F85">
        <w:rPr>
          <w:rFonts w:cstheme="minorHAnsi"/>
          <w:color w:val="000000" w:themeColor="text1"/>
        </w:rPr>
        <w:t>causation in the context of climate change.</w:t>
      </w:r>
      <w:r w:rsidR="00C62BD2" w:rsidRPr="00352F85">
        <w:rPr>
          <w:rStyle w:val="FootnoteReference"/>
          <w:rFonts w:cstheme="minorHAnsi"/>
          <w:color w:val="000000" w:themeColor="text1"/>
        </w:rPr>
        <w:footnoteReference w:id="6"/>
      </w:r>
    </w:p>
    <w:p w14:paraId="40555677" w14:textId="77777777" w:rsidR="00432762" w:rsidRPr="00352F85" w:rsidRDefault="00432762" w:rsidP="00896571">
      <w:pPr>
        <w:jc w:val="both"/>
        <w:rPr>
          <w:rFonts w:cstheme="minorHAnsi"/>
          <w:color w:val="000000" w:themeColor="text1"/>
        </w:rPr>
      </w:pPr>
    </w:p>
    <w:p w14:paraId="20D3772F" w14:textId="0A04F5BF" w:rsidR="008A6D05" w:rsidRPr="00352F85" w:rsidRDefault="00C02485" w:rsidP="00896571">
      <w:pPr>
        <w:jc w:val="both"/>
        <w:rPr>
          <w:rFonts w:cstheme="minorHAnsi"/>
          <w:color w:val="000000" w:themeColor="text1"/>
        </w:rPr>
      </w:pPr>
      <w:r w:rsidRPr="00352F85">
        <w:rPr>
          <w:rFonts w:cstheme="minorHAnsi"/>
          <w:color w:val="000000" w:themeColor="text1"/>
        </w:rPr>
        <w:t xml:space="preserve">Meanwhile, the United Nations High Commissioner for Refugees (UNHCR) </w:t>
      </w:r>
      <w:r w:rsidR="00690C0A" w:rsidRPr="00352F85">
        <w:rPr>
          <w:rFonts w:cstheme="minorHAnsi"/>
          <w:color w:val="000000" w:themeColor="text1"/>
        </w:rPr>
        <w:t xml:space="preserve">reports </w:t>
      </w:r>
      <w:r w:rsidRPr="00352F85">
        <w:rPr>
          <w:rFonts w:cstheme="minorHAnsi"/>
          <w:color w:val="000000" w:themeColor="text1"/>
        </w:rPr>
        <w:t xml:space="preserve">that the world faces the largest </w:t>
      </w:r>
      <w:r w:rsidR="00690C0A" w:rsidRPr="00352F85">
        <w:rPr>
          <w:rFonts w:cstheme="minorHAnsi"/>
          <w:color w:val="000000" w:themeColor="text1"/>
        </w:rPr>
        <w:t xml:space="preserve">ever </w:t>
      </w:r>
      <w:r w:rsidRPr="00352F85">
        <w:rPr>
          <w:rFonts w:cstheme="minorHAnsi"/>
          <w:color w:val="000000" w:themeColor="text1"/>
        </w:rPr>
        <w:t>refugee crisis, with over 123 million displaced people globally and 73% of the 42.7 million refugees hosted in developing regions.</w:t>
      </w:r>
      <w:r w:rsidR="00355D60" w:rsidRPr="00352F85">
        <w:rPr>
          <w:rStyle w:val="FootnoteReference"/>
          <w:rFonts w:cstheme="minorHAnsi"/>
          <w:color w:val="000000" w:themeColor="text1"/>
        </w:rPr>
        <w:footnoteReference w:id="7"/>
      </w:r>
      <w:r w:rsidRPr="00352F85">
        <w:rPr>
          <w:rFonts w:cstheme="minorHAnsi"/>
          <w:color w:val="000000" w:themeColor="text1"/>
        </w:rPr>
        <w:t xml:space="preserve"> Climate change and </w:t>
      </w:r>
      <w:r w:rsidR="00164138" w:rsidRPr="00352F85">
        <w:rPr>
          <w:rFonts w:cstheme="minorHAnsi"/>
          <w:color w:val="000000" w:themeColor="text1"/>
        </w:rPr>
        <w:t>ongoing conflicts</w:t>
      </w:r>
      <w:r w:rsidRPr="00352F85">
        <w:rPr>
          <w:rFonts w:cstheme="minorHAnsi"/>
          <w:color w:val="000000" w:themeColor="text1"/>
        </w:rPr>
        <w:t xml:space="preserve"> </w:t>
      </w:r>
      <w:r w:rsidR="00164138" w:rsidRPr="00352F85">
        <w:rPr>
          <w:rFonts w:cstheme="minorHAnsi"/>
          <w:color w:val="000000" w:themeColor="text1"/>
        </w:rPr>
        <w:t>are</w:t>
      </w:r>
      <w:r w:rsidRPr="00352F85">
        <w:rPr>
          <w:rFonts w:cstheme="minorHAnsi"/>
          <w:color w:val="000000" w:themeColor="text1"/>
        </w:rPr>
        <w:t xml:space="preserve"> only expected to worsen this situation. Despite this, many states continue to resist genuine responsibility</w:t>
      </w:r>
      <w:r w:rsidR="00D554D2" w:rsidRPr="00352F85">
        <w:rPr>
          <w:rFonts w:cstheme="minorHAnsi"/>
          <w:color w:val="000000" w:themeColor="text1"/>
        </w:rPr>
        <w:t>-</w:t>
      </w:r>
      <w:r w:rsidRPr="00352F85">
        <w:rPr>
          <w:rFonts w:cstheme="minorHAnsi"/>
          <w:color w:val="000000" w:themeColor="text1"/>
        </w:rPr>
        <w:t xml:space="preserve">sharing and cooperation </w:t>
      </w:r>
      <w:r w:rsidR="00D554D2" w:rsidRPr="00352F85">
        <w:rPr>
          <w:rFonts w:cstheme="minorHAnsi"/>
          <w:color w:val="000000" w:themeColor="text1"/>
        </w:rPr>
        <w:t>in</w:t>
      </w:r>
      <w:r w:rsidRPr="00352F85">
        <w:rPr>
          <w:rFonts w:cstheme="minorHAnsi"/>
          <w:color w:val="000000" w:themeColor="text1"/>
        </w:rPr>
        <w:t xml:space="preserve"> address</w:t>
      </w:r>
      <w:r w:rsidR="00D554D2" w:rsidRPr="00352F85">
        <w:rPr>
          <w:rFonts w:cstheme="minorHAnsi"/>
          <w:color w:val="000000" w:themeColor="text1"/>
        </w:rPr>
        <w:t>ing</w:t>
      </w:r>
      <w:r w:rsidRPr="00352F85">
        <w:rPr>
          <w:rFonts w:cstheme="minorHAnsi"/>
          <w:color w:val="000000" w:themeColor="text1"/>
        </w:rPr>
        <w:t xml:space="preserve"> </w:t>
      </w:r>
      <w:r w:rsidR="003B7625" w:rsidRPr="00352F85">
        <w:rPr>
          <w:rFonts w:cstheme="minorHAnsi"/>
          <w:color w:val="000000" w:themeColor="text1"/>
        </w:rPr>
        <w:t>displacement</w:t>
      </w:r>
      <w:r w:rsidRPr="00352F85">
        <w:rPr>
          <w:rFonts w:cstheme="minorHAnsi"/>
          <w:color w:val="000000" w:themeColor="text1"/>
        </w:rPr>
        <w:t xml:space="preserve">. </w:t>
      </w:r>
      <w:r w:rsidR="00CD5FD6" w:rsidRPr="00352F85">
        <w:rPr>
          <w:rFonts w:cstheme="minorHAnsi"/>
          <w:color w:val="000000" w:themeColor="text1"/>
        </w:rPr>
        <w:t>The inadequate response by developed nations</w:t>
      </w:r>
      <w:r w:rsidR="00D554D2" w:rsidRPr="00352F85">
        <w:rPr>
          <w:rFonts w:cstheme="minorHAnsi"/>
          <w:color w:val="000000" w:themeColor="text1"/>
        </w:rPr>
        <w:t>,</w:t>
      </w:r>
      <w:r w:rsidR="00CD5FD6" w:rsidRPr="00352F85">
        <w:rPr>
          <w:rFonts w:cstheme="minorHAnsi"/>
          <w:color w:val="000000" w:themeColor="text1"/>
        </w:rPr>
        <w:t xml:space="preserve"> whether through funding, humanitarian aid, or resettlement</w:t>
      </w:r>
      <w:r w:rsidR="00D554D2" w:rsidRPr="00352F85">
        <w:rPr>
          <w:rFonts w:cstheme="minorHAnsi"/>
          <w:color w:val="000000" w:themeColor="text1"/>
        </w:rPr>
        <w:t xml:space="preserve">, </w:t>
      </w:r>
      <w:r w:rsidR="00CD5FD6" w:rsidRPr="00352F85">
        <w:rPr>
          <w:rFonts w:cstheme="minorHAnsi"/>
          <w:color w:val="000000" w:themeColor="text1"/>
        </w:rPr>
        <w:t>is starkly contrasted by their ongoing involvement in displacement-generating contexts, through military aid, funding, and resourcing. These same states avoid legal responsibility for causing displacement because traditional interpretations of international law place responsibility primarily with the Country of Origin (</w:t>
      </w:r>
      <w:proofErr w:type="spellStart"/>
      <w:r w:rsidR="00CD5FD6" w:rsidRPr="00352F85">
        <w:rPr>
          <w:rFonts w:cstheme="minorHAnsi"/>
          <w:color w:val="000000" w:themeColor="text1"/>
        </w:rPr>
        <w:t>CoO</w:t>
      </w:r>
      <w:proofErr w:type="spellEnd"/>
      <w:r w:rsidR="00CD5FD6" w:rsidRPr="00352F85">
        <w:rPr>
          <w:rFonts w:cstheme="minorHAnsi"/>
          <w:color w:val="000000" w:themeColor="text1"/>
        </w:rPr>
        <w:t>) or occupying force.</w:t>
      </w:r>
      <w:r w:rsidR="001B4253" w:rsidRPr="00352F85">
        <w:rPr>
          <w:rFonts w:cstheme="minorHAnsi"/>
          <w:color w:val="000000" w:themeColor="text1"/>
        </w:rPr>
        <w:t xml:space="preserve"> Instead of accepting responsibility, borders are externalised, and third states or </w:t>
      </w:r>
      <w:r w:rsidR="001624EF" w:rsidRPr="00352F85">
        <w:rPr>
          <w:rFonts w:cstheme="minorHAnsi"/>
          <w:color w:val="000000" w:themeColor="text1"/>
        </w:rPr>
        <w:t xml:space="preserve">non-state </w:t>
      </w:r>
      <w:r w:rsidR="001B4253" w:rsidRPr="00352F85">
        <w:rPr>
          <w:rFonts w:cstheme="minorHAnsi"/>
          <w:color w:val="000000" w:themeColor="text1"/>
        </w:rPr>
        <w:t>actors are employed to fulfil a state's obligations towards refugees and displaced persons.</w:t>
      </w:r>
      <w:r w:rsidR="007242C7" w:rsidRPr="00352F85">
        <w:rPr>
          <w:rFonts w:cstheme="minorHAnsi"/>
          <w:color w:val="000000" w:themeColor="text1"/>
        </w:rPr>
        <w:t xml:space="preserve"> </w:t>
      </w:r>
      <w:r w:rsidR="0049247E" w:rsidRPr="00352F85">
        <w:rPr>
          <w:rFonts w:cstheme="minorHAnsi"/>
          <w:color w:val="000000" w:themeColor="text1"/>
        </w:rPr>
        <w:t>State</w:t>
      </w:r>
      <w:r w:rsidR="00D554D2" w:rsidRPr="00352F85">
        <w:rPr>
          <w:rFonts w:cstheme="minorHAnsi"/>
          <w:color w:val="000000" w:themeColor="text1"/>
        </w:rPr>
        <w:t>s</w:t>
      </w:r>
      <w:r w:rsidR="007242C7" w:rsidRPr="00352F85">
        <w:rPr>
          <w:rFonts w:cstheme="minorHAnsi"/>
          <w:color w:val="000000" w:themeColor="text1"/>
        </w:rPr>
        <w:t xml:space="preserve"> utilise </w:t>
      </w:r>
      <w:r w:rsidR="0049247E" w:rsidRPr="00352F85">
        <w:rPr>
          <w:rFonts w:cstheme="minorHAnsi"/>
          <w:color w:val="000000" w:themeColor="text1"/>
        </w:rPr>
        <w:t xml:space="preserve">extraterritorial </w:t>
      </w:r>
      <w:r w:rsidR="007242C7" w:rsidRPr="00352F85">
        <w:rPr>
          <w:rFonts w:cstheme="minorHAnsi"/>
          <w:color w:val="000000" w:themeColor="text1"/>
        </w:rPr>
        <w:t>‘distance-creation</w:t>
      </w:r>
      <w:r w:rsidR="007242C7" w:rsidRPr="00352F85">
        <w:rPr>
          <w:rStyle w:val="FootnoteReference"/>
          <w:rFonts w:cstheme="minorHAnsi"/>
          <w:color w:val="000000" w:themeColor="text1"/>
        </w:rPr>
        <w:footnoteReference w:id="8"/>
      </w:r>
      <w:r w:rsidR="007242C7" w:rsidRPr="00352F85">
        <w:rPr>
          <w:rFonts w:cstheme="minorHAnsi"/>
          <w:color w:val="000000" w:themeColor="text1"/>
        </w:rPr>
        <w:t>’ to blur the lines of attribution and causation.</w:t>
      </w:r>
    </w:p>
    <w:p w14:paraId="447E32F1" w14:textId="77777777" w:rsidR="00FE677C" w:rsidRPr="00352F85" w:rsidRDefault="00FE677C">
      <w:pPr>
        <w:rPr>
          <w:color w:val="000000" w:themeColor="text1"/>
        </w:rPr>
      </w:pPr>
    </w:p>
    <w:p w14:paraId="7150FE46" w14:textId="77B45BA8" w:rsidR="00896571" w:rsidRPr="00352F85" w:rsidRDefault="00671825" w:rsidP="00896571">
      <w:pPr>
        <w:jc w:val="both"/>
        <w:rPr>
          <w:rFonts w:cs="Times New Roman"/>
          <w:b/>
          <w:bCs/>
          <w:color w:val="000000" w:themeColor="text1"/>
        </w:rPr>
      </w:pPr>
      <w:r w:rsidRPr="00352F85">
        <w:rPr>
          <w:rFonts w:cs="Times New Roman"/>
          <w:b/>
          <w:bCs/>
          <w:color w:val="000000" w:themeColor="text1"/>
        </w:rPr>
        <w:t>Scope and information for authors</w:t>
      </w:r>
    </w:p>
    <w:p w14:paraId="7298F737" w14:textId="77777777" w:rsidR="00896571" w:rsidRPr="00352F85" w:rsidRDefault="00896571">
      <w:pPr>
        <w:rPr>
          <w:color w:val="000000" w:themeColor="text1"/>
        </w:rPr>
      </w:pPr>
    </w:p>
    <w:p w14:paraId="5C052B40" w14:textId="43E2C02A" w:rsidR="00C175FF" w:rsidRPr="00352F85" w:rsidRDefault="004C5817" w:rsidP="00C175FF">
      <w:pPr>
        <w:jc w:val="both"/>
        <w:rPr>
          <w:rFonts w:cstheme="minorHAnsi"/>
          <w:color w:val="000000" w:themeColor="text1"/>
          <w:kern w:val="0"/>
          <w14:ligatures w14:val="none"/>
        </w:rPr>
      </w:pPr>
      <w:r w:rsidRPr="00352F85">
        <w:rPr>
          <w:rFonts w:cs="Helvetica"/>
          <w:color w:val="000000" w:themeColor="text1"/>
          <w:kern w:val="0"/>
        </w:rPr>
        <w:t xml:space="preserve">This workshop invites papers that explore the regime of state responsibility and its effectiveness in addressing </w:t>
      </w:r>
      <w:r w:rsidR="0045086D" w:rsidRPr="00352F85">
        <w:rPr>
          <w:rFonts w:cs="Helvetica"/>
          <w:color w:val="000000" w:themeColor="text1"/>
          <w:kern w:val="0"/>
        </w:rPr>
        <w:t>these</w:t>
      </w:r>
      <w:r w:rsidRPr="00352F85">
        <w:rPr>
          <w:rFonts w:cs="Helvetica"/>
          <w:color w:val="000000" w:themeColor="text1"/>
          <w:kern w:val="0"/>
        </w:rPr>
        <w:t xml:space="preserve"> major global issues.</w:t>
      </w:r>
      <w:r w:rsidR="00AD794E">
        <w:rPr>
          <w:rFonts w:cs="Helvetica"/>
          <w:color w:val="000000" w:themeColor="text1"/>
          <w:kern w:val="0"/>
        </w:rPr>
        <w:t xml:space="preserve"> </w:t>
      </w:r>
      <w:r w:rsidR="00C175FF" w:rsidRPr="00352F85">
        <w:rPr>
          <w:rFonts w:cstheme="minorHAnsi"/>
          <w:color w:val="000000" w:themeColor="text1"/>
        </w:rPr>
        <w:t>Papers should evaluate the challenges faced by the law of state responsibility in contemporary contexts, including, for example, 1) establishing attribution, 2) establishing causation (in fact and law), 3) issues surrounding shared or joint responsibility, and 4) the relevance of fault in establishing state responsibility.</w:t>
      </w:r>
      <w:r w:rsidR="00A257A3" w:rsidRPr="00352F85">
        <w:rPr>
          <w:rFonts w:cstheme="minorHAnsi"/>
          <w:color w:val="000000" w:themeColor="text1"/>
        </w:rPr>
        <w:t xml:space="preserve"> </w:t>
      </w:r>
      <w:r w:rsidR="001D4917" w:rsidRPr="00352F85">
        <w:rPr>
          <w:rFonts w:cstheme="minorHAnsi"/>
          <w:color w:val="000000" w:themeColor="text1"/>
        </w:rPr>
        <w:t xml:space="preserve">This workshop invites academics </w:t>
      </w:r>
      <w:r w:rsidR="001D4917" w:rsidRPr="00352F85">
        <w:rPr>
          <w:rFonts w:cstheme="minorHAnsi"/>
          <w:color w:val="000000" w:themeColor="text1"/>
          <w:kern w:val="0"/>
          <w14:ligatures w14:val="none"/>
        </w:rPr>
        <w:t xml:space="preserve">working on the laws of state responsibility, as well as those considering their interaction with other related fields, to submit papers. </w:t>
      </w:r>
      <w:r w:rsidR="00A257A3" w:rsidRPr="00352F85">
        <w:rPr>
          <w:rFonts w:cstheme="minorHAnsi"/>
          <w:color w:val="000000" w:themeColor="text1"/>
        </w:rPr>
        <w:t xml:space="preserve">Theoretical, socio-legal and doctrinal perspectives are </w:t>
      </w:r>
      <w:r w:rsidR="00EB0DDB">
        <w:rPr>
          <w:rFonts w:cstheme="minorHAnsi"/>
          <w:color w:val="000000" w:themeColor="text1"/>
        </w:rPr>
        <w:t xml:space="preserve">all </w:t>
      </w:r>
      <w:r w:rsidR="00352F85" w:rsidRPr="00352F85">
        <w:rPr>
          <w:rFonts w:cstheme="minorHAnsi"/>
          <w:color w:val="000000" w:themeColor="text1"/>
        </w:rPr>
        <w:t>encouraged</w:t>
      </w:r>
      <w:r w:rsidR="00A257A3" w:rsidRPr="00352F85">
        <w:rPr>
          <w:rFonts w:cstheme="minorHAnsi"/>
          <w:color w:val="000000" w:themeColor="text1"/>
        </w:rPr>
        <w:t xml:space="preserve">. </w:t>
      </w:r>
      <w:r w:rsidR="00A257A3" w:rsidRPr="00352F85">
        <w:rPr>
          <w:rFonts w:cstheme="minorHAnsi"/>
          <w:color w:val="000000" w:themeColor="text1"/>
          <w:kern w:val="0"/>
          <w14:ligatures w14:val="none"/>
        </w:rPr>
        <w:t xml:space="preserve"> </w:t>
      </w:r>
    </w:p>
    <w:p w14:paraId="72AC6E02" w14:textId="77777777" w:rsidR="00C175FF" w:rsidRPr="00352F85" w:rsidRDefault="00C175FF">
      <w:pPr>
        <w:rPr>
          <w:rFonts w:cstheme="minorHAnsi"/>
          <w:color w:val="000000" w:themeColor="text1"/>
        </w:rPr>
      </w:pPr>
    </w:p>
    <w:p w14:paraId="46BFC332" w14:textId="170993E4" w:rsidR="00896571" w:rsidRPr="00352F85" w:rsidRDefault="00896571" w:rsidP="00C219D3">
      <w:pPr>
        <w:jc w:val="both"/>
        <w:rPr>
          <w:rFonts w:cstheme="minorHAnsi"/>
          <w:color w:val="000000" w:themeColor="text1"/>
        </w:rPr>
      </w:pPr>
      <w:r w:rsidRPr="00352F85">
        <w:rPr>
          <w:rFonts w:cstheme="minorHAnsi"/>
          <w:color w:val="000000" w:themeColor="text1"/>
        </w:rPr>
        <w:t xml:space="preserve"> </w:t>
      </w:r>
      <w:r w:rsidR="00C219D3" w:rsidRPr="00352F85">
        <w:rPr>
          <w:rFonts w:cstheme="minorHAnsi"/>
          <w:color w:val="000000" w:themeColor="text1"/>
        </w:rPr>
        <w:t xml:space="preserve">The workshop will invite academics to present their proposals to </w:t>
      </w:r>
      <w:r w:rsidR="005151E9" w:rsidRPr="00352F85">
        <w:rPr>
          <w:rFonts w:cstheme="minorHAnsi"/>
          <w:color w:val="000000" w:themeColor="text1"/>
        </w:rPr>
        <w:t xml:space="preserve">experts </w:t>
      </w:r>
      <w:r w:rsidR="00D4646C" w:rsidRPr="00352F85">
        <w:rPr>
          <w:rFonts w:cstheme="minorHAnsi"/>
          <w:color w:val="000000" w:themeColor="text1"/>
        </w:rPr>
        <w:t>from</w:t>
      </w:r>
      <w:r w:rsidR="005151E9" w:rsidRPr="00352F85">
        <w:rPr>
          <w:rFonts w:cstheme="minorHAnsi"/>
          <w:color w:val="000000" w:themeColor="text1"/>
        </w:rPr>
        <w:t xml:space="preserve"> both</w:t>
      </w:r>
      <w:r w:rsidR="00D4646C" w:rsidRPr="00352F85">
        <w:rPr>
          <w:rFonts w:cstheme="minorHAnsi"/>
          <w:color w:val="000000" w:themeColor="text1"/>
        </w:rPr>
        <w:t xml:space="preserve"> academia</w:t>
      </w:r>
      <w:r w:rsidR="005151E9" w:rsidRPr="00352F85">
        <w:rPr>
          <w:rFonts w:cstheme="minorHAnsi"/>
          <w:color w:val="000000" w:themeColor="text1"/>
        </w:rPr>
        <w:t xml:space="preserve"> and</w:t>
      </w:r>
      <w:r w:rsidR="00C219D3" w:rsidRPr="00352F85">
        <w:rPr>
          <w:rFonts w:cstheme="minorHAnsi"/>
          <w:color w:val="000000" w:themeColor="text1"/>
        </w:rPr>
        <w:t xml:space="preserve"> </w:t>
      </w:r>
      <w:r w:rsidR="005151E9" w:rsidRPr="00352F85">
        <w:rPr>
          <w:rFonts w:cstheme="minorHAnsi"/>
          <w:color w:val="000000" w:themeColor="text1"/>
        </w:rPr>
        <w:t xml:space="preserve">practitioners working </w:t>
      </w:r>
      <w:r w:rsidR="00D4646C" w:rsidRPr="00352F85">
        <w:rPr>
          <w:rFonts w:cstheme="minorHAnsi"/>
          <w:color w:val="000000" w:themeColor="text1"/>
        </w:rPr>
        <w:t>i</w:t>
      </w:r>
      <w:r w:rsidR="005151E9" w:rsidRPr="00352F85">
        <w:rPr>
          <w:rFonts w:cstheme="minorHAnsi"/>
          <w:color w:val="000000" w:themeColor="text1"/>
        </w:rPr>
        <w:t>n the field</w:t>
      </w:r>
      <w:r w:rsidR="000350C3" w:rsidRPr="00352F85">
        <w:rPr>
          <w:rFonts w:cstheme="minorHAnsi"/>
          <w:color w:val="000000" w:themeColor="text1"/>
        </w:rPr>
        <w:t xml:space="preserve">. </w:t>
      </w:r>
      <w:r w:rsidR="00BB2AEB">
        <w:rPr>
          <w:rFonts w:cstheme="minorHAnsi"/>
          <w:color w:val="000000" w:themeColor="text1"/>
        </w:rPr>
        <w:t xml:space="preserve">A keynote </w:t>
      </w:r>
      <w:r w:rsidR="00704D3A">
        <w:rPr>
          <w:rFonts w:cstheme="minorHAnsi"/>
          <w:color w:val="000000" w:themeColor="text1"/>
        </w:rPr>
        <w:t xml:space="preserve">speaker </w:t>
      </w:r>
      <w:r w:rsidR="00BB2AEB">
        <w:rPr>
          <w:rFonts w:cstheme="minorHAnsi"/>
          <w:color w:val="000000" w:themeColor="text1"/>
        </w:rPr>
        <w:t>will open the workshop</w:t>
      </w:r>
      <w:r w:rsidR="00704D3A">
        <w:rPr>
          <w:rFonts w:cstheme="minorHAnsi"/>
          <w:color w:val="000000" w:themeColor="text1"/>
        </w:rPr>
        <w:t>, followed by three panels, each featuring 3-4 papers per topic. A senior academic will chair</w:t>
      </w:r>
      <w:r w:rsidR="006A5BEF">
        <w:rPr>
          <w:rFonts w:cstheme="minorHAnsi"/>
          <w:color w:val="000000" w:themeColor="text1"/>
        </w:rPr>
        <w:t xml:space="preserve"> each panel</w:t>
      </w:r>
      <w:r w:rsidR="00704D3A">
        <w:rPr>
          <w:rFonts w:cstheme="minorHAnsi"/>
          <w:color w:val="000000" w:themeColor="text1"/>
        </w:rPr>
        <w:t xml:space="preserve"> and provide</w:t>
      </w:r>
      <w:r w:rsidR="00FF5609">
        <w:rPr>
          <w:rFonts w:cstheme="minorHAnsi"/>
          <w:color w:val="000000" w:themeColor="text1"/>
        </w:rPr>
        <w:t xml:space="preserve"> substantive feedback on each paper. </w:t>
      </w:r>
      <w:r w:rsidR="00704D3A">
        <w:rPr>
          <w:rFonts w:cstheme="minorHAnsi"/>
          <w:color w:val="000000" w:themeColor="text1"/>
        </w:rPr>
        <w:t xml:space="preserve">Each panel will be </w:t>
      </w:r>
      <w:r w:rsidR="00E41C99" w:rsidRPr="00352F85">
        <w:rPr>
          <w:rFonts w:cstheme="minorHAnsi"/>
          <w:color w:val="000000" w:themeColor="text1"/>
        </w:rPr>
        <w:t xml:space="preserve">followed by time for </w:t>
      </w:r>
      <w:r w:rsidR="000350C3" w:rsidRPr="00352F85">
        <w:rPr>
          <w:rFonts w:cstheme="minorHAnsi"/>
          <w:color w:val="000000" w:themeColor="text1"/>
        </w:rPr>
        <w:t>discussion among panellists and attend</w:t>
      </w:r>
      <w:r w:rsidR="00BB2AEB">
        <w:rPr>
          <w:rFonts w:cstheme="minorHAnsi"/>
          <w:color w:val="000000" w:themeColor="text1"/>
        </w:rPr>
        <w:t xml:space="preserve">ees. </w:t>
      </w:r>
      <w:r w:rsidR="00E41C99" w:rsidRPr="00352F85">
        <w:rPr>
          <w:rFonts w:cstheme="minorHAnsi"/>
          <w:color w:val="000000" w:themeColor="text1"/>
        </w:rPr>
        <w:t>There will be</w:t>
      </w:r>
      <w:r w:rsidR="000350C3" w:rsidRPr="00352F85">
        <w:rPr>
          <w:rFonts w:cstheme="minorHAnsi"/>
          <w:color w:val="000000" w:themeColor="text1"/>
        </w:rPr>
        <w:t xml:space="preserve"> time after </w:t>
      </w:r>
      <w:r w:rsidR="00E41C99" w:rsidRPr="00352F85">
        <w:rPr>
          <w:rFonts w:cstheme="minorHAnsi"/>
          <w:color w:val="000000" w:themeColor="text1"/>
        </w:rPr>
        <w:t xml:space="preserve">the </w:t>
      </w:r>
      <w:r w:rsidR="000350C3" w:rsidRPr="00352F85">
        <w:rPr>
          <w:rFonts w:cstheme="minorHAnsi"/>
          <w:color w:val="000000" w:themeColor="text1"/>
        </w:rPr>
        <w:t>workshop to revise and write up papers</w:t>
      </w:r>
      <w:r w:rsidR="00E41C99" w:rsidRPr="00352F85">
        <w:rPr>
          <w:rFonts w:cstheme="minorHAnsi"/>
          <w:color w:val="000000" w:themeColor="text1"/>
        </w:rPr>
        <w:t>,</w:t>
      </w:r>
      <w:r w:rsidR="000350C3" w:rsidRPr="00352F85">
        <w:rPr>
          <w:rFonts w:cstheme="minorHAnsi"/>
          <w:color w:val="000000" w:themeColor="text1"/>
        </w:rPr>
        <w:t xml:space="preserve"> in light of feedback.</w:t>
      </w:r>
    </w:p>
    <w:p w14:paraId="6B1F5396" w14:textId="77777777" w:rsidR="00B3598C" w:rsidRPr="00352F85" w:rsidRDefault="00B3598C" w:rsidP="00896571">
      <w:pPr>
        <w:jc w:val="both"/>
        <w:rPr>
          <w:rFonts w:cs="Times New Roman"/>
          <w:b/>
          <w:bCs/>
          <w:color w:val="000000" w:themeColor="text1"/>
        </w:rPr>
      </w:pPr>
      <w:bookmarkStart w:id="0" w:name="_Hlk186892313"/>
    </w:p>
    <w:p w14:paraId="77F901D0" w14:textId="021B447E" w:rsidR="00896571" w:rsidRPr="00352F85" w:rsidRDefault="00896571" w:rsidP="00896571">
      <w:pPr>
        <w:jc w:val="both"/>
        <w:rPr>
          <w:rFonts w:cs="Times New Roman"/>
          <w:b/>
          <w:bCs/>
          <w:color w:val="000000" w:themeColor="text1"/>
        </w:rPr>
      </w:pPr>
      <w:r w:rsidRPr="00352F85">
        <w:rPr>
          <w:rFonts w:cs="Times New Roman"/>
          <w:b/>
          <w:bCs/>
          <w:color w:val="000000" w:themeColor="text1"/>
        </w:rPr>
        <w:t>Timeline</w:t>
      </w:r>
    </w:p>
    <w:p w14:paraId="26C78026" w14:textId="77777777" w:rsidR="00896571" w:rsidRPr="00352F85" w:rsidRDefault="00896571" w:rsidP="00896571">
      <w:pPr>
        <w:jc w:val="both"/>
        <w:rPr>
          <w:rFonts w:cs="Times New Roman"/>
          <w:color w:val="000000" w:themeColor="text1"/>
        </w:rPr>
      </w:pPr>
    </w:p>
    <w:p w14:paraId="4E8C07BF" w14:textId="5D7D98B7" w:rsidR="00896571" w:rsidRPr="00352F85" w:rsidRDefault="00896571" w:rsidP="00896571">
      <w:pPr>
        <w:jc w:val="both"/>
        <w:rPr>
          <w:rFonts w:cs="Times New Roman"/>
          <w:color w:val="000000" w:themeColor="text1"/>
        </w:rPr>
      </w:pPr>
      <w:r w:rsidRPr="00352F85">
        <w:rPr>
          <w:rFonts w:cs="Times New Roman"/>
          <w:b/>
          <w:bCs/>
          <w:color w:val="000000" w:themeColor="text1"/>
        </w:rPr>
        <w:t>October 2025</w:t>
      </w:r>
      <w:r w:rsidRPr="00352F85">
        <w:rPr>
          <w:rFonts w:cs="Times New Roman"/>
          <w:color w:val="000000" w:themeColor="text1"/>
        </w:rPr>
        <w:t xml:space="preserve"> – Call for paper proposals. Abstracts should be sent to </w:t>
      </w:r>
      <w:bookmarkStart w:id="1" w:name="_Hlk186892279"/>
      <w:r w:rsidRPr="00352F85">
        <w:rPr>
          <w:rFonts w:cs="Times New Roman"/>
          <w:color w:val="000000" w:themeColor="text1"/>
        </w:rPr>
        <w:t>kathryn.allinson@bristol.ac.</w:t>
      </w:r>
      <w:bookmarkEnd w:id="1"/>
      <w:r w:rsidRPr="00352F85">
        <w:rPr>
          <w:rFonts w:cs="Times New Roman"/>
          <w:color w:val="000000" w:themeColor="text1"/>
        </w:rPr>
        <w:t xml:space="preserve">uk. Abstracts should be </w:t>
      </w:r>
      <w:r w:rsidRPr="00352F85">
        <w:rPr>
          <w:rFonts w:cs="Times New Roman"/>
          <w:b/>
          <w:bCs/>
          <w:color w:val="000000" w:themeColor="text1"/>
        </w:rPr>
        <w:t>one page,</w:t>
      </w:r>
      <w:r w:rsidRPr="00352F85">
        <w:rPr>
          <w:rFonts w:cs="Times New Roman"/>
          <w:color w:val="000000" w:themeColor="text1"/>
        </w:rPr>
        <w:t xml:space="preserve"> plus </w:t>
      </w:r>
      <w:r w:rsidRPr="00352F85">
        <w:rPr>
          <w:rFonts w:cs="Times New Roman"/>
          <w:b/>
          <w:bCs/>
          <w:color w:val="000000" w:themeColor="text1"/>
        </w:rPr>
        <w:t>a short bio</w:t>
      </w:r>
      <w:r w:rsidRPr="00352F85">
        <w:rPr>
          <w:rFonts w:cs="Times New Roman"/>
          <w:color w:val="000000" w:themeColor="text1"/>
        </w:rPr>
        <w:t>.</w:t>
      </w:r>
    </w:p>
    <w:p w14:paraId="6D121156" w14:textId="77777777" w:rsidR="00896571" w:rsidRPr="00352F85" w:rsidRDefault="00896571" w:rsidP="00896571">
      <w:pPr>
        <w:jc w:val="both"/>
        <w:rPr>
          <w:rFonts w:cs="Times New Roman"/>
          <w:color w:val="000000" w:themeColor="text1"/>
        </w:rPr>
      </w:pPr>
    </w:p>
    <w:p w14:paraId="6930001C" w14:textId="2056BFFD" w:rsidR="00896571" w:rsidRPr="00352F85" w:rsidRDefault="00790D78" w:rsidP="00896571">
      <w:pPr>
        <w:jc w:val="both"/>
        <w:rPr>
          <w:rFonts w:cs="Times New Roman"/>
          <w:color w:val="000000" w:themeColor="text1"/>
        </w:rPr>
      </w:pPr>
      <w:r>
        <w:rPr>
          <w:rFonts w:cs="Times New Roman"/>
          <w:b/>
          <w:bCs/>
          <w:color w:val="000000" w:themeColor="text1"/>
        </w:rPr>
        <w:t>20 December</w:t>
      </w:r>
      <w:r w:rsidR="00896571" w:rsidRPr="00352F85">
        <w:rPr>
          <w:rFonts w:cs="Times New Roman"/>
          <w:b/>
          <w:bCs/>
          <w:color w:val="000000" w:themeColor="text1"/>
        </w:rPr>
        <w:t xml:space="preserve"> 202</w:t>
      </w:r>
      <w:r>
        <w:rPr>
          <w:rFonts w:cs="Times New Roman"/>
          <w:b/>
          <w:bCs/>
          <w:color w:val="000000" w:themeColor="text1"/>
        </w:rPr>
        <w:t>5</w:t>
      </w:r>
      <w:r w:rsidR="00896571" w:rsidRPr="00352F85">
        <w:rPr>
          <w:rFonts w:cs="Times New Roman"/>
          <w:color w:val="000000" w:themeColor="text1"/>
        </w:rPr>
        <w:t xml:space="preserve"> - Deadline for the call for paper proposals</w:t>
      </w:r>
    </w:p>
    <w:p w14:paraId="7181135A" w14:textId="77777777" w:rsidR="00896571" w:rsidRPr="00352F85" w:rsidRDefault="00896571" w:rsidP="00896571">
      <w:pPr>
        <w:jc w:val="both"/>
        <w:rPr>
          <w:rFonts w:cs="Times New Roman"/>
          <w:color w:val="000000" w:themeColor="text1"/>
        </w:rPr>
      </w:pPr>
    </w:p>
    <w:p w14:paraId="7FD05416" w14:textId="11D43747" w:rsidR="00896571" w:rsidRPr="00352F85" w:rsidRDefault="00896571" w:rsidP="00896571">
      <w:pPr>
        <w:jc w:val="both"/>
        <w:rPr>
          <w:rFonts w:cs="Times New Roman"/>
          <w:color w:val="000000" w:themeColor="text1"/>
        </w:rPr>
      </w:pPr>
      <w:r w:rsidRPr="00352F85">
        <w:rPr>
          <w:rFonts w:cs="Times New Roman"/>
          <w:b/>
          <w:bCs/>
          <w:color w:val="000000" w:themeColor="text1"/>
        </w:rPr>
        <w:t xml:space="preserve">End of </w:t>
      </w:r>
      <w:r w:rsidR="00790D78">
        <w:rPr>
          <w:rFonts w:cs="Times New Roman"/>
          <w:b/>
          <w:bCs/>
          <w:color w:val="000000" w:themeColor="text1"/>
        </w:rPr>
        <w:t>January</w:t>
      </w:r>
      <w:r w:rsidRPr="00352F85">
        <w:rPr>
          <w:rFonts w:cs="Times New Roman"/>
          <w:b/>
          <w:bCs/>
          <w:color w:val="000000" w:themeColor="text1"/>
        </w:rPr>
        <w:t xml:space="preserve"> 2026</w:t>
      </w:r>
      <w:r w:rsidRPr="00352F85">
        <w:rPr>
          <w:rFonts w:cs="Times New Roman"/>
          <w:color w:val="000000" w:themeColor="text1"/>
        </w:rPr>
        <w:t xml:space="preserve"> - Selection of the participants based on the proposals </w:t>
      </w:r>
    </w:p>
    <w:p w14:paraId="7636BB83" w14:textId="77777777" w:rsidR="00896571" w:rsidRPr="00352F85" w:rsidRDefault="00896571" w:rsidP="00896571">
      <w:pPr>
        <w:jc w:val="both"/>
        <w:rPr>
          <w:rFonts w:cs="Times New Roman"/>
          <w:color w:val="000000" w:themeColor="text1"/>
        </w:rPr>
      </w:pPr>
    </w:p>
    <w:p w14:paraId="2CC4839B" w14:textId="536365ED" w:rsidR="00896571" w:rsidRPr="00352F85" w:rsidRDefault="00896571" w:rsidP="00896571">
      <w:pPr>
        <w:jc w:val="both"/>
        <w:rPr>
          <w:rFonts w:cs="Times New Roman"/>
          <w:color w:val="000000" w:themeColor="text1"/>
        </w:rPr>
      </w:pPr>
      <w:r w:rsidRPr="00352F85">
        <w:rPr>
          <w:rFonts w:cs="Times New Roman"/>
          <w:b/>
          <w:bCs/>
          <w:color w:val="000000" w:themeColor="text1"/>
        </w:rPr>
        <w:t>March 2026</w:t>
      </w:r>
      <w:r w:rsidRPr="00352F85">
        <w:rPr>
          <w:rFonts w:cs="Times New Roman"/>
          <w:color w:val="000000" w:themeColor="text1"/>
        </w:rPr>
        <w:t xml:space="preserve"> - Final Program shared</w:t>
      </w:r>
    </w:p>
    <w:p w14:paraId="09F9A442" w14:textId="77777777" w:rsidR="00896571" w:rsidRPr="00352F85" w:rsidRDefault="00896571" w:rsidP="00896571">
      <w:pPr>
        <w:jc w:val="both"/>
        <w:rPr>
          <w:rFonts w:cs="Times New Roman"/>
          <w:color w:val="000000" w:themeColor="text1"/>
        </w:rPr>
      </w:pPr>
    </w:p>
    <w:p w14:paraId="209A26EE" w14:textId="1749D1F7" w:rsidR="00896571" w:rsidRPr="00352F85" w:rsidRDefault="00896571" w:rsidP="00896571">
      <w:pPr>
        <w:jc w:val="both"/>
        <w:rPr>
          <w:rFonts w:cs="Times New Roman"/>
          <w:color w:val="000000" w:themeColor="text1"/>
        </w:rPr>
      </w:pPr>
      <w:r w:rsidRPr="00352F85">
        <w:rPr>
          <w:rFonts w:cs="Times New Roman"/>
          <w:b/>
          <w:bCs/>
          <w:color w:val="000000" w:themeColor="text1"/>
        </w:rPr>
        <w:t>15 April 2026</w:t>
      </w:r>
      <w:r w:rsidRPr="00352F85">
        <w:rPr>
          <w:rFonts w:cs="Times New Roman"/>
          <w:color w:val="000000" w:themeColor="text1"/>
        </w:rPr>
        <w:t xml:space="preserve"> – </w:t>
      </w:r>
      <w:r w:rsidR="00F04F5D" w:rsidRPr="00352F85">
        <w:rPr>
          <w:rFonts w:cs="Times New Roman"/>
          <w:color w:val="000000" w:themeColor="text1"/>
        </w:rPr>
        <w:t>Detailed outline of the papers submitted (no more than 2,000 words)</w:t>
      </w:r>
    </w:p>
    <w:p w14:paraId="4EA7FFDB" w14:textId="77777777" w:rsidR="00F04F5D" w:rsidRPr="00352F85" w:rsidRDefault="00F04F5D" w:rsidP="00896571">
      <w:pPr>
        <w:jc w:val="both"/>
        <w:rPr>
          <w:rFonts w:cs="Times New Roman"/>
          <w:color w:val="000000" w:themeColor="text1"/>
        </w:rPr>
      </w:pPr>
    </w:p>
    <w:p w14:paraId="491F2E60" w14:textId="5BDE4725" w:rsidR="00896571" w:rsidRPr="00352F85" w:rsidRDefault="000855E8" w:rsidP="00896571">
      <w:pPr>
        <w:jc w:val="both"/>
        <w:rPr>
          <w:rFonts w:cs="Times New Roman"/>
          <w:color w:val="000000" w:themeColor="text1"/>
        </w:rPr>
      </w:pPr>
      <w:r>
        <w:rPr>
          <w:rFonts w:cs="Times New Roman"/>
          <w:b/>
          <w:bCs/>
          <w:color w:val="000000" w:themeColor="text1"/>
        </w:rPr>
        <w:t>30</w:t>
      </w:r>
      <w:r w:rsidR="00896571" w:rsidRPr="00352F85">
        <w:rPr>
          <w:rFonts w:cs="Times New Roman"/>
          <w:b/>
          <w:bCs/>
          <w:color w:val="000000" w:themeColor="text1"/>
        </w:rPr>
        <w:t>-</w:t>
      </w:r>
      <w:r>
        <w:rPr>
          <w:rFonts w:cs="Times New Roman"/>
          <w:b/>
          <w:bCs/>
          <w:color w:val="000000" w:themeColor="text1"/>
        </w:rPr>
        <w:t>1</w:t>
      </w:r>
      <w:r>
        <w:rPr>
          <w:rFonts w:cs="Times New Roman"/>
          <w:b/>
          <w:bCs/>
          <w:color w:val="000000" w:themeColor="text1"/>
          <w:vertAlign w:val="superscript"/>
        </w:rPr>
        <w:t>2t</w:t>
      </w:r>
      <w:r w:rsidR="00896571" w:rsidRPr="00352F85">
        <w:rPr>
          <w:rFonts w:cs="Times New Roman"/>
          <w:b/>
          <w:bCs/>
          <w:color w:val="000000" w:themeColor="text1"/>
        </w:rPr>
        <w:t xml:space="preserve"> May 2026</w:t>
      </w:r>
      <w:r w:rsidR="00896571" w:rsidRPr="00352F85">
        <w:rPr>
          <w:rFonts w:cs="Times New Roman"/>
          <w:color w:val="000000" w:themeColor="text1"/>
        </w:rPr>
        <w:t xml:space="preserve"> – Workshop in Bristol, UK</w:t>
      </w:r>
    </w:p>
    <w:p w14:paraId="4C42EDC5" w14:textId="77777777" w:rsidR="00896571" w:rsidRPr="00352F85" w:rsidRDefault="00896571" w:rsidP="00896571">
      <w:pPr>
        <w:jc w:val="both"/>
        <w:rPr>
          <w:rFonts w:cs="Times New Roman"/>
          <w:color w:val="000000" w:themeColor="text1"/>
        </w:rPr>
      </w:pPr>
    </w:p>
    <w:p w14:paraId="3EA870B0" w14:textId="77777777" w:rsidR="00896571" w:rsidRPr="00352F85" w:rsidRDefault="00896571" w:rsidP="00896571">
      <w:pPr>
        <w:jc w:val="both"/>
        <w:rPr>
          <w:rFonts w:cs="Times New Roman"/>
          <w:color w:val="000000" w:themeColor="text1"/>
        </w:rPr>
      </w:pPr>
    </w:p>
    <w:p w14:paraId="5EF7ECC6" w14:textId="5C48AEEA" w:rsidR="00896571" w:rsidRPr="00352F85" w:rsidRDefault="00896571" w:rsidP="00896571">
      <w:pPr>
        <w:pStyle w:val="Heading1"/>
        <w:spacing w:before="0"/>
        <w:ind w:left="432" w:hanging="432"/>
        <w:rPr>
          <w:rFonts w:asciiTheme="minorHAnsi" w:hAnsiTheme="minorHAnsi" w:cs="Times New Roman"/>
          <w:b/>
          <w:bCs/>
          <w:color w:val="000000" w:themeColor="text1"/>
          <w:sz w:val="24"/>
          <w:szCs w:val="24"/>
          <w:lang w:val="en-US"/>
        </w:rPr>
      </w:pPr>
      <w:r w:rsidRPr="00352F85">
        <w:rPr>
          <w:rFonts w:asciiTheme="minorHAnsi" w:hAnsiTheme="minorHAnsi" w:cs="Times New Roman"/>
          <w:b/>
          <w:bCs/>
          <w:color w:val="000000" w:themeColor="text1"/>
          <w:sz w:val="24"/>
          <w:szCs w:val="24"/>
          <w:lang w:val="en-US"/>
        </w:rPr>
        <w:t xml:space="preserve">Publication </w:t>
      </w:r>
    </w:p>
    <w:p w14:paraId="684343CA" w14:textId="7C002A05" w:rsidR="00896571" w:rsidRPr="00352F85" w:rsidRDefault="00F04F5D" w:rsidP="00896571">
      <w:pPr>
        <w:jc w:val="both"/>
        <w:rPr>
          <w:rFonts w:cs="Times New Roman"/>
          <w:color w:val="000000" w:themeColor="text1"/>
          <w:lang w:val="en-US"/>
        </w:rPr>
      </w:pPr>
      <w:r w:rsidRPr="00352F85">
        <w:rPr>
          <w:rFonts w:cs="Times New Roman"/>
          <w:color w:val="000000" w:themeColor="text1"/>
        </w:rPr>
        <w:t>The plan is to publish selected papers in a special issue of a journal</w:t>
      </w:r>
      <w:r w:rsidRPr="00352F85">
        <w:rPr>
          <w:rFonts w:cs="Times New Roman"/>
          <w:color w:val="000000" w:themeColor="text1"/>
          <w:lang w:val="en-US"/>
        </w:rPr>
        <w:t xml:space="preserve"> </w:t>
      </w:r>
      <w:r w:rsidR="003F0B3C" w:rsidRPr="00352F85">
        <w:rPr>
          <w:rFonts w:cs="Times New Roman"/>
          <w:color w:val="000000" w:themeColor="text1"/>
          <w:lang w:val="en-US"/>
        </w:rPr>
        <w:t>(TBC)</w:t>
      </w:r>
    </w:p>
    <w:p w14:paraId="778C90BE" w14:textId="77777777" w:rsidR="00896571" w:rsidRPr="00352F85" w:rsidRDefault="00896571" w:rsidP="00896571">
      <w:pPr>
        <w:pStyle w:val="Heading1"/>
        <w:spacing w:after="240" w:line="276" w:lineRule="auto"/>
        <w:ind w:left="432" w:hanging="432"/>
        <w:rPr>
          <w:rFonts w:asciiTheme="minorHAnsi" w:hAnsiTheme="minorHAnsi" w:cs="Times New Roman"/>
          <w:b/>
          <w:bCs/>
          <w:color w:val="000000" w:themeColor="text1"/>
          <w:sz w:val="24"/>
          <w:szCs w:val="24"/>
          <w:lang w:val="en-US"/>
        </w:rPr>
      </w:pPr>
      <w:r w:rsidRPr="00352F85">
        <w:rPr>
          <w:rFonts w:asciiTheme="minorHAnsi" w:hAnsiTheme="minorHAnsi" w:cs="Times New Roman"/>
          <w:b/>
          <w:bCs/>
          <w:color w:val="000000" w:themeColor="text1"/>
          <w:sz w:val="24"/>
          <w:szCs w:val="24"/>
          <w:lang w:val="en-US"/>
        </w:rPr>
        <w:t xml:space="preserve">Practical considerations </w:t>
      </w:r>
    </w:p>
    <w:p w14:paraId="6699CC98" w14:textId="6C0D17AE" w:rsidR="00896571" w:rsidRPr="00352F85" w:rsidRDefault="00896571" w:rsidP="00896571">
      <w:pPr>
        <w:spacing w:line="276" w:lineRule="auto"/>
        <w:jc w:val="both"/>
        <w:rPr>
          <w:rFonts w:cs="Times New Roman"/>
          <w:color w:val="000000" w:themeColor="text1"/>
        </w:rPr>
      </w:pPr>
      <w:r w:rsidRPr="00352F85">
        <w:rPr>
          <w:rFonts w:cs="Times New Roman"/>
          <w:color w:val="000000" w:themeColor="text1"/>
        </w:rPr>
        <w:t xml:space="preserve">We have a BA/Leverhulme Small Grant that will </w:t>
      </w:r>
      <w:r w:rsidR="001839D0" w:rsidRPr="00352F85">
        <w:rPr>
          <w:rFonts w:cs="Times New Roman"/>
          <w:color w:val="000000" w:themeColor="text1"/>
        </w:rPr>
        <w:t>cover</w:t>
      </w:r>
      <w:r w:rsidRPr="00352F85">
        <w:rPr>
          <w:rFonts w:cs="Times New Roman"/>
          <w:color w:val="000000" w:themeColor="text1"/>
        </w:rPr>
        <w:t xml:space="preserve"> the </w:t>
      </w:r>
      <w:r w:rsidR="001839D0" w:rsidRPr="00352F85">
        <w:rPr>
          <w:rFonts w:cs="Times New Roman"/>
          <w:color w:val="000000" w:themeColor="text1"/>
        </w:rPr>
        <w:t xml:space="preserve">cost of </w:t>
      </w:r>
      <w:r w:rsidRPr="00352F85">
        <w:rPr>
          <w:rFonts w:cs="Times New Roman"/>
          <w:color w:val="000000" w:themeColor="text1"/>
        </w:rPr>
        <w:t xml:space="preserve">refreshments and lunches during the workshop. </w:t>
      </w:r>
      <w:r w:rsidR="00352F85">
        <w:rPr>
          <w:rFonts w:cs="Times New Roman"/>
          <w:color w:val="000000" w:themeColor="text1"/>
        </w:rPr>
        <w:t>Additionally, s</w:t>
      </w:r>
      <w:r w:rsidR="00352F85" w:rsidRPr="00352F85">
        <w:rPr>
          <w:rFonts w:cs="Times New Roman"/>
          <w:color w:val="000000" w:themeColor="text1"/>
        </w:rPr>
        <w:t xml:space="preserve">ome </w:t>
      </w:r>
      <w:r w:rsidR="00352F85">
        <w:rPr>
          <w:rFonts w:cs="Times New Roman"/>
          <w:color w:val="000000" w:themeColor="text1"/>
        </w:rPr>
        <w:t>funds</w:t>
      </w:r>
      <w:r w:rsidR="00352F85" w:rsidRPr="00352F85">
        <w:rPr>
          <w:rFonts w:cs="Times New Roman"/>
          <w:color w:val="000000" w:themeColor="text1"/>
        </w:rPr>
        <w:t xml:space="preserve"> </w:t>
      </w:r>
      <w:r w:rsidR="00352F85">
        <w:rPr>
          <w:rFonts w:cs="Times New Roman"/>
          <w:color w:val="000000" w:themeColor="text1"/>
        </w:rPr>
        <w:t>are</w:t>
      </w:r>
      <w:r w:rsidR="00352F85" w:rsidRPr="00352F85">
        <w:rPr>
          <w:rFonts w:cs="Times New Roman"/>
          <w:color w:val="000000" w:themeColor="text1"/>
        </w:rPr>
        <w:t xml:space="preserve"> available at </w:t>
      </w:r>
      <w:r w:rsidR="00352F85">
        <w:rPr>
          <w:rFonts w:cs="Times New Roman"/>
          <w:color w:val="000000" w:themeColor="text1"/>
        </w:rPr>
        <w:t xml:space="preserve">the </w:t>
      </w:r>
      <w:r w:rsidR="00352F85" w:rsidRPr="00352F85">
        <w:rPr>
          <w:rFonts w:cs="Times New Roman"/>
          <w:color w:val="000000" w:themeColor="text1"/>
        </w:rPr>
        <w:t xml:space="preserve">discretion of </w:t>
      </w:r>
      <w:r w:rsidR="00352F85">
        <w:rPr>
          <w:rFonts w:cs="Times New Roman"/>
          <w:color w:val="000000" w:themeColor="text1"/>
        </w:rPr>
        <w:t xml:space="preserve">the </w:t>
      </w:r>
      <w:r w:rsidR="00352F85" w:rsidRPr="00352F85">
        <w:rPr>
          <w:rFonts w:cs="Times New Roman"/>
          <w:color w:val="000000" w:themeColor="text1"/>
        </w:rPr>
        <w:t>organisers to support those with no other means of covering travel and accommodation.</w:t>
      </w:r>
      <w:r w:rsidR="00352F85">
        <w:rPr>
          <w:rFonts w:cs="Times New Roman"/>
          <w:color w:val="000000" w:themeColor="text1"/>
        </w:rPr>
        <w:t xml:space="preserve"> </w:t>
      </w:r>
    </w:p>
    <w:bookmarkEnd w:id="0"/>
    <w:p w14:paraId="2A436EA9" w14:textId="77777777" w:rsidR="00896571" w:rsidRPr="00352F85" w:rsidRDefault="00896571">
      <w:pPr>
        <w:rPr>
          <w:color w:val="000000" w:themeColor="text1"/>
        </w:rPr>
      </w:pPr>
    </w:p>
    <w:sectPr w:rsidR="00896571" w:rsidRPr="00352F8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AC7C" w14:textId="77777777" w:rsidR="00E94DBB" w:rsidRDefault="00E94DBB" w:rsidP="00640798">
      <w:r>
        <w:separator/>
      </w:r>
    </w:p>
  </w:endnote>
  <w:endnote w:type="continuationSeparator" w:id="0">
    <w:p w14:paraId="75FCB4F5" w14:textId="77777777" w:rsidR="00E94DBB" w:rsidRDefault="00E94DBB" w:rsidP="0064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80C8" w14:textId="77777777" w:rsidR="00E94DBB" w:rsidRDefault="00E94DBB" w:rsidP="00640798">
      <w:r>
        <w:separator/>
      </w:r>
    </w:p>
  </w:footnote>
  <w:footnote w:type="continuationSeparator" w:id="0">
    <w:p w14:paraId="709E277C" w14:textId="77777777" w:rsidR="00E94DBB" w:rsidRDefault="00E94DBB" w:rsidP="00640798">
      <w:r>
        <w:continuationSeparator/>
      </w:r>
    </w:p>
  </w:footnote>
  <w:footnote w:id="1">
    <w:p w14:paraId="14249E3D" w14:textId="446DD58F" w:rsidR="00C21CA1" w:rsidRPr="000855E8" w:rsidRDefault="00C21CA1">
      <w:pPr>
        <w:pStyle w:val="FootnoteText"/>
        <w:rPr>
          <w:sz w:val="18"/>
          <w:szCs w:val="18"/>
        </w:rPr>
      </w:pPr>
      <w:r w:rsidRPr="000855E8">
        <w:rPr>
          <w:rStyle w:val="FootnoteReference"/>
          <w:sz w:val="18"/>
          <w:szCs w:val="18"/>
        </w:rPr>
        <w:footnoteRef/>
      </w:r>
      <w:r w:rsidRPr="000855E8">
        <w:rPr>
          <w:sz w:val="18"/>
          <w:szCs w:val="18"/>
        </w:rPr>
        <w:t xml:space="preserve"> </w:t>
      </w:r>
      <w:r w:rsidR="00C87A01" w:rsidRPr="000855E8">
        <w:rPr>
          <w:sz w:val="18"/>
          <w:szCs w:val="18"/>
        </w:rPr>
        <w:t xml:space="preserve">James Crawford, </w:t>
      </w:r>
      <w:r w:rsidR="00C87A01" w:rsidRPr="000855E8">
        <w:rPr>
          <w:rStyle w:val="Emphasis"/>
          <w:sz w:val="18"/>
          <w:szCs w:val="18"/>
        </w:rPr>
        <w:t>The International Law Commission’s Articles on State Responsibility: Introduction, Text and Commentaries</w:t>
      </w:r>
      <w:r w:rsidR="00C87A01" w:rsidRPr="000855E8">
        <w:rPr>
          <w:sz w:val="18"/>
          <w:szCs w:val="18"/>
        </w:rPr>
        <w:t xml:space="preserve"> (CUP 2002) 15–18, 33–35; Pierre-Marie Dupuy, ‘A General Stocktaking of the Connections Between the Multilateral Dimension of Obligations and Codification of the Law of Responsibility’ (2002) 13 </w:t>
      </w:r>
      <w:r w:rsidR="00C87A01" w:rsidRPr="000855E8">
        <w:rPr>
          <w:rStyle w:val="Emphasis"/>
          <w:sz w:val="18"/>
          <w:szCs w:val="18"/>
        </w:rPr>
        <w:t>EJIL</w:t>
      </w:r>
      <w:r w:rsidR="00C87A01" w:rsidRPr="000855E8">
        <w:rPr>
          <w:sz w:val="18"/>
          <w:szCs w:val="18"/>
        </w:rPr>
        <w:t xml:space="preserve"> 1053; Bruno Simma, ‘From Bilateralism to Community Interest in International Law’ (1994) 250 </w:t>
      </w:r>
      <w:r w:rsidR="00C87A01" w:rsidRPr="000855E8">
        <w:rPr>
          <w:rStyle w:val="Emphasis"/>
          <w:sz w:val="18"/>
          <w:szCs w:val="18"/>
        </w:rPr>
        <w:t>RCADI</w:t>
      </w:r>
      <w:r w:rsidR="00C87A01" w:rsidRPr="000855E8">
        <w:rPr>
          <w:sz w:val="18"/>
          <w:szCs w:val="18"/>
        </w:rPr>
        <w:t xml:space="preserve"> 217.</w:t>
      </w:r>
    </w:p>
  </w:footnote>
  <w:footnote w:id="2">
    <w:p w14:paraId="2C1C88D0" w14:textId="36376A1A" w:rsidR="00520722" w:rsidRPr="000855E8" w:rsidRDefault="00520722" w:rsidP="00520722">
      <w:pPr>
        <w:pStyle w:val="FootnoteText"/>
        <w:rPr>
          <w:sz w:val="18"/>
          <w:szCs w:val="18"/>
        </w:rPr>
      </w:pPr>
      <w:r w:rsidRPr="000855E8">
        <w:rPr>
          <w:rStyle w:val="FootnoteReference"/>
          <w:sz w:val="18"/>
          <w:szCs w:val="18"/>
        </w:rPr>
        <w:footnoteRef/>
      </w:r>
      <w:r w:rsidRPr="000855E8">
        <w:rPr>
          <w:sz w:val="18"/>
          <w:szCs w:val="18"/>
        </w:rPr>
        <w:t xml:space="preserve"> </w:t>
      </w:r>
      <w:r w:rsidRPr="000855E8">
        <w:rPr>
          <w:sz w:val="18"/>
          <w:szCs w:val="18"/>
        </w:rPr>
        <w:fldChar w:fldCharType="begin"/>
      </w:r>
      <w:r w:rsidRPr="000855E8">
        <w:rPr>
          <w:sz w:val="18"/>
          <w:szCs w:val="18"/>
        </w:rPr>
        <w:instrText xml:space="preserve"> ADDIN ZOTERO_ITEM CSL_CITATION {"citationID":"8qP3RWon","properties":{"formattedCitation":"Kubo Macak, {\\i{}Internationalized Armed Conflicts in International Law} (Oxford University Press 2018); Erik Melander, Magnus \\uc0\\u214{}berg and Jonathan Hall, \\uc0\\u8216{}Are \\uc0\\u8220{}New Wars\\uc0\\u8221{} More Atrocious? Battle Severity, Civilians Killed and Forced Migration Before and After the End of the Cold War\\uc0\\u8217{} [2009] European Journal of International Relations &lt;http://journals.sagepub.com.ezproxy.library.qmul.ac.uk/doi/abs/10.1177/1354066109338243&gt; accessed 15 December 2016.","plainCitation":"Kubo Macak, Internationalized Armed Conflicts in International Law (Oxford University Press 2018); Erik Melander, Magnus Öberg and Jonathan Hall, ‘Are “New Wars” More Atrocious? Battle Severity, Civilians Killed and Forced Migration Before and After the End of the Cold War’ [2009] European Journal of International Relations &lt;http://journals.sagepub.com.ezproxy.library.qmul.ac.uk/doi/abs/10.1177/1354066109338243&gt; accessed 15 December 2016.","noteIndex":1},"citationItems":[{"id":219,"uris":["http://zotero.org/users/3524720/items/LCULB3SC"],"itemData":{"id":219,"type":"book","abstract":"This book provides the first comprehensive analysis of factors that transform a prima facie non-international armed conflict (NIAC) into an international armed conflict (IAC) and the consequences that follow from this process of internationalization. It examines in detail the historical development as well as the current state of the relevant rules of international humanitarian law. The discussion is grounded in general international law, complemented with abundant references to case law, and illustrated by examples from twentieth and twenty-first century armed conflicts.In Part I, the book puts forward a thorough catalogue of modalities of conflict internationalization that includes outside intervention, State dissolution, and recognition of belligerency. It then specifically considers the legal qualification of complex situations that feature more than two conflict parties and contrasts the mechanism of internationalization of armed conflicts with the reverse process of de-internationalization. Part II of the book challenges the conventional wisdom that members of non-State armed groups do not normally benefit from combatant status. It argues that the majority of fighters belonging to non-State armed groups in most types of internationalized armed conflicts are in fact eligible for combatant status. Finally, Part III turns to belligerent occupation, traditionally understood as a leading example of a notion that cannot be transposed to armed conflicts occurring in the territory of a single State. By contrast, the book argues in favour of the applicability of the law of belligerent occupation to internationalized armed conflicts.","collection-title":"Oxford Monographs in International Humanitarian &amp; Criminal Law","event-place":"Oxford, New York","ISBN":"978-0-19-881986-8","number-of-pages":"320","publisher":"Oxford University Press","publisher-place":"Oxford, New York","source":"Oxford University Press","title":"Internationalized Armed Conflicts in International Law","author":[{"family":"Macak","given":"Kubo"}],"issued":{"date-parts":[["2018",8,7]]}}},{"id":895,"uris":["http://zotero.org/users/3524720/items/7KGE6BNV"],"itemData":{"id":895,"type":"article-journal","abstract":"It is widely believed that the human impact of civil conflict in the present era is especially destructive. Proponents of the ‘new wars’ thesis hold that today’s conflicts are fuelled by exclusive identities, motivated by greed in the absence of strong states, and unchecked by the disinterested great powers, resulting in increased battle severity, civilian death and displacement. The ratio of civilian to military casualties is claimed to have tilted, so that the overwhelming majority of those killed today are civilians. Using systematic data that are comparable across cases and over time we find that, contrary to the ‘new wars’ thesis, the human impact of civil conflict is considerably lower in the post-Cold War period. We argue that this pattern reflects the decline of ideological conflict, the restraining influence of globalization on governments, and the increasing rarity of superpower campaigns of destabilization and counter-insurgency through proxy warfare.","archive_location":"Sage UK: London, England","container-title":"European Journal of International Relations","DOI":"10.1177/1354066109338243","language":"en","source":"journals.sagepub.com.ezproxy.library.qmul.ac.uk","title":"Are ‘New Wars’ More Atrocious? Battle Severity, Civilians Killed and Forced Migration Before and After the End of the Cold War","title-short":"Are ‘New Wars’ More Atrocious?","URL":"http://journals.sagepub.com.ezproxy.library.qmul.ac.uk/doi/abs/10.1177/1354066109338243","author":[{"family":"Melander","given":"Erik"},{"family":"Öberg","given":"Magnus"},{"family":"Hall","given":"Jonathan"}],"accessed":{"date-parts":[["2016",12,15]]},"issued":{"date-parts":[["2009",8,20]]}}}],"schema":"https://github.com/citation-style-language/schema/raw/master/csl-citation.json"} </w:instrText>
      </w:r>
      <w:r w:rsidRPr="000855E8">
        <w:rPr>
          <w:sz w:val="18"/>
          <w:szCs w:val="18"/>
        </w:rPr>
        <w:fldChar w:fldCharType="separate"/>
      </w:r>
      <w:r w:rsidRPr="000855E8">
        <w:rPr>
          <w:rFonts w:ascii="Aptos" w:cs="Times New Roman"/>
          <w:kern w:val="0"/>
          <w:sz w:val="18"/>
          <w:szCs w:val="18"/>
        </w:rPr>
        <w:t xml:space="preserve">Kubo Macak, </w:t>
      </w:r>
      <w:r w:rsidRPr="000855E8">
        <w:rPr>
          <w:rFonts w:ascii="Aptos" w:cs="Times New Roman"/>
          <w:i/>
          <w:iCs/>
          <w:kern w:val="0"/>
          <w:sz w:val="18"/>
          <w:szCs w:val="18"/>
        </w:rPr>
        <w:t>Internationalized Armed Conflicts in International Law</w:t>
      </w:r>
      <w:r w:rsidRPr="000855E8">
        <w:rPr>
          <w:rFonts w:ascii="Aptos" w:cs="Times New Roman"/>
          <w:kern w:val="0"/>
          <w:sz w:val="18"/>
          <w:szCs w:val="18"/>
        </w:rPr>
        <w:t xml:space="preserve"> (Oxford University Press 2018); Erik Melander, Magnus Öberg and Jonathan Hall, ‘Are “New Wars” More Atrocious? Battle Severity, Civilians Killed and Forced Migration Before and After the End of the Cold War’ [2009] European Journal of International Relations.</w:t>
      </w:r>
      <w:r w:rsidRPr="000855E8">
        <w:rPr>
          <w:sz w:val="18"/>
          <w:szCs w:val="18"/>
        </w:rPr>
        <w:fldChar w:fldCharType="end"/>
      </w:r>
    </w:p>
  </w:footnote>
  <w:footnote w:id="3">
    <w:p w14:paraId="79ABB82B" w14:textId="2223646A" w:rsidR="00A14754" w:rsidRPr="000855E8" w:rsidRDefault="00A14754">
      <w:pPr>
        <w:pStyle w:val="FootnoteText"/>
        <w:rPr>
          <w:sz w:val="18"/>
          <w:szCs w:val="18"/>
        </w:rPr>
      </w:pPr>
      <w:r w:rsidRPr="000855E8">
        <w:rPr>
          <w:rStyle w:val="FootnoteReference"/>
          <w:sz w:val="18"/>
          <w:szCs w:val="18"/>
        </w:rPr>
        <w:footnoteRef/>
      </w:r>
      <w:r w:rsidRPr="000855E8">
        <w:rPr>
          <w:sz w:val="18"/>
          <w:szCs w:val="18"/>
        </w:rPr>
        <w:t xml:space="preserve"> </w:t>
      </w:r>
      <w:r w:rsidR="00684014" w:rsidRPr="000855E8">
        <w:rPr>
          <w:sz w:val="18"/>
          <w:szCs w:val="18"/>
        </w:rPr>
        <w:t xml:space="preserve"> </w:t>
      </w:r>
      <w:r w:rsidR="00684014" w:rsidRPr="000855E8">
        <w:rPr>
          <w:sz w:val="18"/>
          <w:szCs w:val="18"/>
        </w:rPr>
        <w:fldChar w:fldCharType="begin"/>
      </w:r>
      <w:r w:rsidR="00684014" w:rsidRPr="000855E8">
        <w:rPr>
          <w:sz w:val="18"/>
          <w:szCs w:val="18"/>
        </w:rPr>
        <w:instrText xml:space="preserve"> ADDIN ZOTERO_ITEM CSL_CITATION {"citationID":"1W56iOKX","properties":{"formattedCitation":"Vincent Bellinkx and others, \\uc0\\u8216{}Addressing Climate Change through International Human Rights Law: From (Extra)Territoriality to Common Concern of Humankind\\uc0\\u8217{} [undefined/ed] Transnational Environmental Law 1; Daniel Bodansky, Jutta Brunn\\uc0\\u233{}e and Lavanya Rajamani, {\\i{}International Climate Change Law} (Oxford University Press 2017).","plainCitation":"Vincent Bellinkx and others, ‘Addressing Climate Change through International Human Rights Law: From (Extra)Territoriality to Common Concern of Humankind’ [undefined/ed] Transnational Environmental Law 1; Daniel Bodansky, Jutta Brunnée and Lavanya Rajamani, International Climate Change Law (Oxford University Press 2017).","noteIndex":3},"citationItems":[{"id":2833,"uris":["http://zotero.org/users/3524720/items/RIRX7VL4"],"itemData":{"id":2833,"type":"article-journal","abstract":"International human rights law (IHRL) offers potential responses to the consequences of climate change. However, the focus of IHRL on territorial jurisdiction and the causation-based allocation of obligations does not match the global nature of climate change impacts and their indirect causation. The primary aim of this article is to respond to the jurisdictional challenge of IHRL in the context of climate change, including its indirect, slow-onset consequences such as climate change migration. It does so by suggesting a departure from (extra)territoriality and an embrace of global international cooperation obligations in IHRL. The notion of common concern of humankind (CCH) in international environmental law offers conceptual inspiration for the manner in which burden sharing between states may facilitate international cooperation in response to global problems. Such a reconfiguration of the jurisdictional tenets of IHRL is central to enabling a meaningful human rights response to the harmful consequences of climate change.","container-title":"Transnational Environmental Law","DOI":"10.1017/S204710252100011X","ISSN":"2047-1025, 2047-1033","language":"en","note":"publisher: Cambridge University Press","page":"1-25","source":"Cambridge University Press","title":"Addressing Climate Change through International Human Rights Law: From (Extra)Territoriality to Common Concern of Humankind","title-short":"Addressing Climate Change through International Human Rights Law","author":[{"family":"Bellinkx","given":"Vincent"},{"family":"Casalin","given":"Deborah"},{"family":"Türkelli","given":"Gamze Erdem"},{"family":"Scholtz","given":"Werner"},{"family":"Vandenhole","given":"Wouter"}],"issued":{"literal":"undefined/ed"}}},{"id":3220,"uris":["http://zotero.org/users/3524720/items/QU677T9B"],"itemData":{"id":3220,"type":"book","event-place":"Oxford, United Kingdom","ISBN":"978-0-19-966430-6","language":"English","number-of-pages":"416","publisher":"Oxford University Press","publisher-place":"Oxford, United Kingdom","source":"Amazon","title":"International Climate Change Law","author":[{"family":"Bodansky","given":"Daniel"},{"family":"Brunnée","given":"Jutta"},{"family":"Rajamani","given":"Lavanya"}],"issued":{"date-parts":[["2017",7,25]]}}}],"schema":"https://github.com/citation-style-language/schema/raw/master/csl-citation.json"} </w:instrText>
      </w:r>
      <w:r w:rsidR="00684014" w:rsidRPr="000855E8">
        <w:rPr>
          <w:sz w:val="18"/>
          <w:szCs w:val="18"/>
        </w:rPr>
        <w:fldChar w:fldCharType="separate"/>
      </w:r>
      <w:r w:rsidR="00684014" w:rsidRPr="000855E8">
        <w:rPr>
          <w:rFonts w:ascii="Aptos" w:cs="Times New Roman"/>
          <w:kern w:val="0"/>
          <w:sz w:val="18"/>
          <w:szCs w:val="18"/>
        </w:rPr>
        <w:t xml:space="preserve">Vincent Bellinkx and others, ‘Addressing Climate Change through International Human Rights Law: From (Extra)Territoriality to Common Concern of Humankind’ [undefined/ed] Transnational Environmental Law 1; Daniel Bodansky, Jutta Brunnée and Lavanya Rajamani, </w:t>
      </w:r>
      <w:r w:rsidR="00684014" w:rsidRPr="000855E8">
        <w:rPr>
          <w:rFonts w:ascii="Aptos" w:cs="Times New Roman"/>
          <w:i/>
          <w:iCs/>
          <w:kern w:val="0"/>
          <w:sz w:val="18"/>
          <w:szCs w:val="18"/>
        </w:rPr>
        <w:t>International Climate Change Law</w:t>
      </w:r>
      <w:r w:rsidR="00684014" w:rsidRPr="000855E8">
        <w:rPr>
          <w:rFonts w:ascii="Aptos" w:cs="Times New Roman"/>
          <w:kern w:val="0"/>
          <w:sz w:val="18"/>
          <w:szCs w:val="18"/>
        </w:rPr>
        <w:t xml:space="preserve"> (Oxford University Press 2017).</w:t>
      </w:r>
      <w:r w:rsidR="00684014" w:rsidRPr="000855E8">
        <w:rPr>
          <w:sz w:val="18"/>
          <w:szCs w:val="18"/>
        </w:rPr>
        <w:fldChar w:fldCharType="end"/>
      </w:r>
    </w:p>
  </w:footnote>
  <w:footnote w:id="4">
    <w:p w14:paraId="7A456921" w14:textId="3F5B62AF" w:rsidR="00BE4401" w:rsidRPr="000855E8" w:rsidRDefault="00BE4401">
      <w:pPr>
        <w:pStyle w:val="FootnoteText"/>
        <w:rPr>
          <w:sz w:val="18"/>
          <w:szCs w:val="18"/>
        </w:rPr>
      </w:pPr>
      <w:r w:rsidRPr="000855E8">
        <w:rPr>
          <w:rStyle w:val="FootnoteReference"/>
          <w:sz w:val="18"/>
          <w:szCs w:val="18"/>
        </w:rPr>
        <w:footnoteRef/>
      </w:r>
      <w:r w:rsidR="00684014" w:rsidRPr="000855E8">
        <w:rPr>
          <w:sz w:val="18"/>
          <w:szCs w:val="18"/>
        </w:rPr>
        <w:t xml:space="preserve"> COP outputs, IPCCC reports</w:t>
      </w:r>
    </w:p>
  </w:footnote>
  <w:footnote w:id="5">
    <w:p w14:paraId="50CCBFC9" w14:textId="4906872F" w:rsidR="00316F49" w:rsidRPr="000855E8" w:rsidRDefault="00316F49">
      <w:pPr>
        <w:pStyle w:val="FootnoteText"/>
        <w:rPr>
          <w:sz w:val="18"/>
          <w:szCs w:val="18"/>
        </w:rPr>
      </w:pPr>
      <w:r w:rsidRPr="000855E8">
        <w:rPr>
          <w:rStyle w:val="FootnoteReference"/>
          <w:sz w:val="18"/>
          <w:szCs w:val="18"/>
        </w:rPr>
        <w:footnoteRef/>
      </w:r>
      <w:r w:rsidRPr="000855E8">
        <w:rPr>
          <w:sz w:val="18"/>
          <w:szCs w:val="18"/>
        </w:rPr>
        <w:t xml:space="preserve"> </w:t>
      </w:r>
      <w:r w:rsidRPr="000855E8">
        <w:rPr>
          <w:rFonts w:ascii="Aptos" w:cs="Times New Roman"/>
          <w:kern w:val="0"/>
          <w:sz w:val="18"/>
          <w:szCs w:val="18"/>
        </w:rPr>
        <w:t>Ottavio Quirico, ‘Climate Change and State Responsibility for Human Rights Violations: Causation and Imputation’ (2018) 65 Netherlands International Law Review 185;</w:t>
      </w:r>
    </w:p>
  </w:footnote>
  <w:footnote w:id="6">
    <w:p w14:paraId="13C0C1B8" w14:textId="37971D76" w:rsidR="00C62BD2" w:rsidRPr="000855E8" w:rsidRDefault="00C62BD2" w:rsidP="00C62BD2">
      <w:pPr>
        <w:pStyle w:val="FootnoteText"/>
        <w:rPr>
          <w:sz w:val="18"/>
          <w:szCs w:val="18"/>
        </w:rPr>
      </w:pPr>
      <w:r w:rsidRPr="001D5C2E">
        <w:rPr>
          <w:rStyle w:val="FootnoteReference"/>
          <w:i/>
          <w:iCs/>
          <w:sz w:val="18"/>
          <w:szCs w:val="18"/>
        </w:rPr>
        <w:footnoteRef/>
      </w:r>
      <w:r w:rsidRPr="001D5C2E">
        <w:rPr>
          <w:i/>
          <w:iCs/>
          <w:sz w:val="18"/>
          <w:szCs w:val="18"/>
        </w:rPr>
        <w:t xml:space="preserve"> </w:t>
      </w:r>
      <w:proofErr w:type="spellStart"/>
      <w:r w:rsidRPr="001D5C2E">
        <w:rPr>
          <w:i/>
          <w:iCs/>
          <w:sz w:val="18"/>
          <w:szCs w:val="18"/>
        </w:rPr>
        <w:t>KlimaSeniorinnen</w:t>
      </w:r>
      <w:proofErr w:type="spellEnd"/>
      <w:r w:rsidRPr="001D5C2E">
        <w:rPr>
          <w:i/>
          <w:iCs/>
          <w:sz w:val="18"/>
          <w:szCs w:val="18"/>
        </w:rPr>
        <w:t xml:space="preserve"> v Switzerland</w:t>
      </w:r>
      <w:r w:rsidRPr="000855E8">
        <w:rPr>
          <w:sz w:val="18"/>
          <w:szCs w:val="18"/>
        </w:rPr>
        <w:t xml:space="preserve"> (ECtHR) Application no. 53600/20 (2020); </w:t>
      </w:r>
      <w:r w:rsidRPr="000855E8">
        <w:rPr>
          <w:sz w:val="18"/>
          <w:szCs w:val="18"/>
        </w:rPr>
        <w:fldChar w:fldCharType="begin"/>
      </w:r>
      <w:r w:rsidRPr="000855E8">
        <w:rPr>
          <w:sz w:val="18"/>
          <w:szCs w:val="18"/>
        </w:rPr>
        <w:instrText xml:space="preserve"> ADDIN ZOTERO_ITEM CSL_CITATION {"citationID":"vRYFOdbg","properties":{"formattedCitation":"Ottavio Quirico, \\uc0\\u8216{}Climate Change and State Responsibility for Human Rights Violations: Causation and Imputation\\uc0\\u8217{} (2018) 65 Netherlands International Law Review 185; Andre Nollkaemper, \\uc0\\u8216{}Causation Puzzles In International Climate Litigation\\uc0\\u8217{} (Social Science Research Network, 13 June 2024) &lt;https://papers.ssrn.com/abstract=4819496&gt; accessed 28 November 2024; Nata\\uc0\\u353{}a Nedeski, \\uc0\\u8216{}A Guide to Tackling the Collective Causation Problem in International Climate Change Litigation\\uc0\\u8217{} ({\\i{}EJIL: Talk!}, 15 December 2022) &lt;https://www.ejiltalk.org/a-guide-to-tackling-the-collective-causation-problem-in-international-climate-change-litigation/&gt; accessed 6 November 2023.","plainCitation":"Ottavio Quirico, ‘Climate Change and State Responsibility for Human Rights Violations: Causation and Imputation’ (2018) 65 Netherlands International Law Review 185; Andre Nollkaemper, ‘Causation Puzzles In International Climate Litigation’ (Social Science Research Network, 13 June 2024) &lt;https://papers.ssrn.com/abstract=4819496&gt; accessed 28 November 2024; Nataša Nedeski, ‘A Guide to Tackling the Collective Causation Problem in International Climate Change Litigation’ (EJIL: Talk!, 15 December 2022) &lt;https://www.ejiltalk.org/a-guide-to-tackling-the-collective-causation-problem-in-international-climate-change-litigation/&gt; accessed 6 November 2023.","noteIndex":6},"citationItems":[{"id":3424,"uris":["http://zotero.org/users/3524720/items/SYSCVLPP"],"itemData":{"id":3424,"type":"article-journal","abstract":"The Paris Agreement provides that States ‘should respect, promote and consider their respective obligations on human rights’ in ‘taking action to address climate change’. Should therefore States be held responsible for anthropogenic greenhouse gas emissions in breach of fundamental obligations, that is, the duties to respect, protect and fulfil first, second and third generation human rights? The key cases of the Inuit Petitions to the Inter-American Commission on Human Rights and Kivalina demonstrate that there are serious objective and subjective impediments to holding a State responsible for greenhouse gas emissions. By contrast, the decision of the Hague District Court in Urgenda has the potential to prompt a paradigm shift, whereby the evolution from first to second and third generation human rights allows streamlining fundamental issues of causation, extraterritoriality, attribution of responsibility and policy discretion. It is therefore arguable that the international recognition of a human right to a sustainable environment would require the plaintiff to only demonstrate direct causation, instead of indirect causation, thus fundamentally shifting the burden of proof to the defendant. Furthermore, such a right would allow attributing responsibility pro rata, based on minimum reduction targets outlined in the UNFCCC regime, overcoming issues of extraterritoriality and policy discretion. The human right to a sustainable environment entails asserting the fundamental nature of the no-harm rule.","container-title":"Netherlands International Law Review","DOI":"10.1007/s40802-018-0110-0","ISSN":"1741-6191","issue":"2","journalAbbreviation":"Neth Int Law Rev","language":"en","page":"185-215","source":"Springer Link","title":"Climate Change and State Responsibility for Human Rights Violations: Causation and Imputation","title-short":"Climate Change and State Responsibility for Human Rights Violations","volume":"65","author":[{"family":"Quirico","given":"Ottavio"}],"issued":{"date-parts":[["2018",7,1]]}}},{"id":4425,"uris":["http://zotero.org/users/3524720/items/L4IRQURA"],"itemData":{"id":4425,"type":"article","abstract":"The multiplicity of causes of climate change makes it difficult to establish causal connections between individual states' greenhouse gas emissions and harmful effects of climate change. Several states and companies have invoked this causation puzzle as a defence against claims that they would be responsible for harmful effects. However, in recent opinions and judgments, the International Tribunal for the Law of the Sea, the European Court of Human Rights, and national courts have shown that this causation puzzle does not necessarily preclude a determination of the responsibility of states contributing to climate change. This paper examines how courts have (partially) solved puzzles of cause-effect relations by relying on normative standards based on the imperative to prevent global risks of climate harm. It also articulates possible solutions to the main causation puzzle that courts have not yet cracked: allocating compensation for climate change harm.","DOI":"10.2139/ssrn.4819496","event-place":"Rochester, NY","genre":"SSRN Scholarly Paper","language":"en","number":"4819496","publisher":"Social Science Research Network","publisher-place":"Rochester, NY","source":"papers.ssrn.com","title":"Causation Puzzles In International Climate Litigation","URL":"https://papers.ssrn.com/abstract=4819496","author":[{"family":"Nollkaemper","given":"Andre"}],"accessed":{"date-parts":[["2024",11,28]]},"issued":{"date-parts":[["2024",6,13]]}}},{"id":4112,"uris":["http://zotero.org/users/3524720/items/DJZUGKK6"],"itemData":{"id":4112,"type":"post-weblog","abstract":"In the wide variety of arguments that defendants have brought up in climate change litigation, one argument is a constant. This is the argument that climate change is a problem of collective causation. That is: climate change harm is caused by actions and omissions of many actors and it would be scientifically impossible to attribute […]","container-title":"EJIL: Talk!","language":"English","title":"A guide to tackling the collective causation problem in international climate change litigation","URL":"https://www.ejiltalk.org/a-guide-to-tackling-the-collective-causation-problem-in-international-climate-change-litigation/","author":[{"family":"Nedeski","given":"Nataša"}],"accessed":{"date-parts":[["2023",11,6]]},"issued":{"date-parts":[["2022",12,15]]}}}],"schema":"https://github.com/citation-style-language/schema/raw/master/csl-citation.json"} </w:instrText>
      </w:r>
      <w:r w:rsidRPr="000855E8">
        <w:rPr>
          <w:sz w:val="18"/>
          <w:szCs w:val="18"/>
        </w:rPr>
        <w:fldChar w:fldCharType="separate"/>
      </w:r>
      <w:r w:rsidRPr="000855E8">
        <w:rPr>
          <w:rFonts w:ascii="Aptos" w:cs="Times New Roman"/>
          <w:kern w:val="0"/>
          <w:sz w:val="18"/>
          <w:szCs w:val="18"/>
        </w:rPr>
        <w:t>Andre Nollkaemper, ‘Causation Puzzles In International Climate Litigation’ (Social Science Research Network, 13 June 2024); Nataša Nedeski, ‘A Guide to Tackling the Collective Causation Problem in International Climate Change Litigation’ (</w:t>
      </w:r>
      <w:r w:rsidRPr="000855E8">
        <w:rPr>
          <w:rFonts w:ascii="Aptos" w:cs="Times New Roman"/>
          <w:i/>
          <w:iCs/>
          <w:kern w:val="0"/>
          <w:sz w:val="18"/>
          <w:szCs w:val="18"/>
        </w:rPr>
        <w:t>EJIL: Talk!</w:t>
      </w:r>
      <w:r w:rsidRPr="000855E8">
        <w:rPr>
          <w:rFonts w:ascii="Aptos" w:cs="Times New Roman"/>
          <w:kern w:val="0"/>
          <w:sz w:val="18"/>
          <w:szCs w:val="18"/>
        </w:rPr>
        <w:t>, 15 December 2022) &lt;https://www.ejiltalk.org/a-guide-to-tackling-the-collective-causation-problem-in-international-climate-change-litigation/&gt; accessed 6 November 2023.</w:t>
      </w:r>
      <w:r w:rsidRPr="000855E8">
        <w:rPr>
          <w:sz w:val="18"/>
          <w:szCs w:val="18"/>
        </w:rPr>
        <w:fldChar w:fldCharType="end"/>
      </w:r>
    </w:p>
  </w:footnote>
  <w:footnote w:id="7">
    <w:p w14:paraId="7ADE751A" w14:textId="1A367D0A" w:rsidR="00355D60" w:rsidRPr="000855E8" w:rsidRDefault="00355D60">
      <w:pPr>
        <w:pStyle w:val="FootnoteText"/>
        <w:rPr>
          <w:sz w:val="18"/>
          <w:szCs w:val="18"/>
        </w:rPr>
      </w:pPr>
      <w:r w:rsidRPr="000855E8">
        <w:rPr>
          <w:rStyle w:val="FootnoteReference"/>
          <w:sz w:val="18"/>
          <w:szCs w:val="18"/>
        </w:rPr>
        <w:footnoteRef/>
      </w:r>
      <w:r w:rsidRPr="000855E8">
        <w:rPr>
          <w:sz w:val="18"/>
          <w:szCs w:val="18"/>
        </w:rPr>
        <w:t xml:space="preserve"> </w:t>
      </w:r>
      <w:r w:rsidR="001D5C2E">
        <w:rPr>
          <w:sz w:val="18"/>
          <w:szCs w:val="18"/>
        </w:rPr>
        <w:t xml:space="preserve">UNHCR, </w:t>
      </w:r>
      <w:r w:rsidRPr="000855E8">
        <w:rPr>
          <w:sz w:val="18"/>
          <w:szCs w:val="18"/>
        </w:rPr>
        <w:t>Global Trends Report 2024</w:t>
      </w:r>
      <w:r w:rsidR="001D5C2E">
        <w:rPr>
          <w:sz w:val="18"/>
          <w:szCs w:val="18"/>
        </w:rPr>
        <w:t xml:space="preserve">, available at: </w:t>
      </w:r>
      <w:hyperlink r:id="rId1" w:history="1">
        <w:r w:rsidR="001D5C2E" w:rsidRPr="00C71630">
          <w:rPr>
            <w:rStyle w:val="Hyperlink"/>
            <w:sz w:val="18"/>
            <w:szCs w:val="18"/>
          </w:rPr>
          <w:t>https://www.unhcr.org/global-trends-report-2024</w:t>
        </w:r>
      </w:hyperlink>
      <w:r w:rsidR="001D5C2E">
        <w:rPr>
          <w:sz w:val="18"/>
          <w:szCs w:val="18"/>
        </w:rPr>
        <w:t xml:space="preserve"> </w:t>
      </w:r>
    </w:p>
  </w:footnote>
  <w:footnote w:id="8">
    <w:p w14:paraId="084F6CC2" w14:textId="77777777" w:rsidR="007242C7" w:rsidRPr="000855E8" w:rsidRDefault="007242C7" w:rsidP="007242C7">
      <w:pPr>
        <w:pStyle w:val="FootnoteText"/>
        <w:rPr>
          <w:sz w:val="18"/>
          <w:szCs w:val="18"/>
        </w:rPr>
      </w:pPr>
      <w:r w:rsidRPr="000855E8">
        <w:rPr>
          <w:rStyle w:val="FootnoteReference"/>
          <w:sz w:val="18"/>
          <w:szCs w:val="18"/>
        </w:rPr>
        <w:footnoteRef/>
      </w:r>
      <w:r w:rsidRPr="000855E8">
        <w:rPr>
          <w:sz w:val="18"/>
          <w:szCs w:val="18"/>
        </w:rPr>
        <w:t xml:space="preserve"> </w:t>
      </w:r>
      <w:r w:rsidRPr="000855E8">
        <w:rPr>
          <w:sz w:val="18"/>
          <w:szCs w:val="18"/>
        </w:rPr>
        <w:fldChar w:fldCharType="begin"/>
      </w:r>
      <w:r w:rsidRPr="000855E8">
        <w:rPr>
          <w:sz w:val="18"/>
          <w:szCs w:val="18"/>
        </w:rPr>
        <w:instrText xml:space="preserve"> ADDIN ZOTERO_ITEM CSL_CITATION {"citationID":"3pSmcjpF","properties":{"formattedCitation":"Violeta Moreno-Lax and M Lemberg-Pedersen, \\uc0\\u8216{}Border-Induced Displacement: The Ethical and Legal Implications of Distance-Creation through Externalization\\uc0\\u8217{} [2019] QIL QDI; Violeta Moreno-Lax and Mariagiulia Giuffr\\uc0\\u233{}, \\uc0\\u8216{}The Rise of Consensual Containment: From \\uc0\\u8220{}Contactless Control\\uc0\\u8221{} to \\uc0\\u8220{}Contactless Responsibility\\uc0\\u8221{} for Forced Migration Flows\\uc0\\u8217{}, {\\i{}Research Handbook on International Refugee Law} (Edward Elgar).","plainCitation":"Violeta Moreno-Lax and M Lemberg-Pedersen, ‘Border-Induced Displacement: The Ethical and Legal Implications of Distance-Creation through Externalization’ [2019] QIL QDI; Violeta Moreno-Lax and Mariagiulia Giuffré, ‘The Rise of Consensual Containment: From “Contactless Control” to “Contactless Responsibility” for Forced Migration Flows’, Research Handbook on International Refugee Law (Edward Elgar).","noteIndex":7},"citationItems":[{"id":4014,"uris":["http://zotero.org/users/3524720/items/4TXB7NZI"],"itemData":{"id":4014,"type":"article-journal","abstract":"Questions of International Law","container-title":"QIL QDI","language":"en-US","note":"section: Externalizing EU Migration Control while Ignoring the Human Rights of Migrants: Is There Any Room for the International Responsibility of European States?","title":"Border-induced displacement: The ethical and legal implications of distance-creation through externalization","title-short":"Border-induced displacement","author":[{"family":"Moreno-Lax","given":"Violeta"},{"family":"Lemberg-Pedersen","given":"M"}],"accessed":{"date-parts":[["2023",5,16]]},"issued":{"date-parts":[["2019",2,28]]}}},{"id":1025,"uris":["http://zotero.org/users/3524720/items/X2YIHGZB"],"itemData":{"id":1025,"type":"chapter","container-title":"Research Handbook on International Refugee Law","publisher":"Edward Elgar","title":"The Rise of Consensual Containment: From ‘Contactless Control’ to ‘Contactless Responsibility’ for Forced Migration Flows","title-short":"The Rise of Consensual Containment:","author":[{"family":"Moreno-Lax","given":"Violeta"},{"family":"Giuffré","given":"Mariagiulia"}],"accessed":{"date-parts":[["2019",3,12]]}}}],"schema":"https://github.com/citation-style-language/schema/raw/master/csl-citation.json"} </w:instrText>
      </w:r>
      <w:r w:rsidRPr="000855E8">
        <w:rPr>
          <w:sz w:val="18"/>
          <w:szCs w:val="18"/>
        </w:rPr>
        <w:fldChar w:fldCharType="separate"/>
      </w:r>
      <w:r w:rsidRPr="000855E8">
        <w:rPr>
          <w:rFonts w:ascii="Aptos" w:cs="Times New Roman"/>
          <w:kern w:val="0"/>
          <w:sz w:val="18"/>
          <w:szCs w:val="18"/>
        </w:rPr>
        <w:t xml:space="preserve">Violeta Moreno-Lax and M Lemberg-Pedersen, ‘Border-Induced Displacement: The Ethical and Legal Implications of Distance-Creation through Externalization’ [2019] QIL QDI; Violeta Moreno-Lax and Mariagiulia Giuffré, ‘The Rise of Consensual Containment: From “Contactless Control” to “Contactless Responsibility” for Forced Migration Flows’, </w:t>
      </w:r>
      <w:r w:rsidRPr="000855E8">
        <w:rPr>
          <w:rFonts w:ascii="Aptos" w:cs="Times New Roman"/>
          <w:i/>
          <w:iCs/>
          <w:kern w:val="0"/>
          <w:sz w:val="18"/>
          <w:szCs w:val="18"/>
        </w:rPr>
        <w:t>Research Handbook on International Refugee Law</w:t>
      </w:r>
      <w:r w:rsidRPr="000855E8">
        <w:rPr>
          <w:rFonts w:ascii="Aptos" w:cs="Times New Roman"/>
          <w:kern w:val="0"/>
          <w:sz w:val="18"/>
          <w:szCs w:val="18"/>
        </w:rPr>
        <w:t xml:space="preserve"> (Edward Elgar).</w:t>
      </w:r>
      <w:r w:rsidRPr="000855E8">
        <w:rPr>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6409" w14:textId="31574086" w:rsidR="00831B35" w:rsidRPr="00831B35" w:rsidRDefault="00447056" w:rsidP="00831B35">
    <w:pPr>
      <w:pStyle w:val="Header"/>
    </w:pPr>
    <w:r>
      <w:fldChar w:fldCharType="begin"/>
    </w:r>
    <w:r>
      <w:instrText xml:space="preserve"> INCLUDEPICTURE "https://encrypted-tbn0.gstatic.com/images?q=tbn:ANd9GcRIpYU1LKWPbm-HpXgEKgEu1hpJQrGOUsIvHdilFvvAxuv8MbiHFOdzpZ6PfLckt_d99g&amp;usqp=CAU" \* MERGEFORMATINET </w:instrText>
    </w:r>
    <w:r>
      <w:fldChar w:fldCharType="separate"/>
    </w:r>
    <w:r>
      <w:rPr>
        <w:noProof/>
      </w:rPr>
      <w:drawing>
        <wp:inline distT="0" distB="0" distL="0" distR="0" wp14:anchorId="6B8737A5" wp14:editId="027A9FFA">
          <wp:extent cx="1511452" cy="433754"/>
          <wp:effectExtent l="0" t="0" r="0" b="0"/>
          <wp:docPr id="744599561" name="Picture 4" descr="University of Bristol - NIHR School for Public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 of Bristol - NIHR School for Public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271" cy="459817"/>
                  </a:xfrm>
                  <a:prstGeom prst="rect">
                    <a:avLst/>
                  </a:prstGeom>
                  <a:noFill/>
                  <a:ln>
                    <a:noFill/>
                  </a:ln>
                </pic:spPr>
              </pic:pic>
            </a:graphicData>
          </a:graphic>
        </wp:inline>
      </w:drawing>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71"/>
    <w:rsid w:val="00006AD4"/>
    <w:rsid w:val="00010026"/>
    <w:rsid w:val="00030D34"/>
    <w:rsid w:val="00034607"/>
    <w:rsid w:val="000350C3"/>
    <w:rsid w:val="00052B77"/>
    <w:rsid w:val="00077A5B"/>
    <w:rsid w:val="000855E8"/>
    <w:rsid w:val="000D1587"/>
    <w:rsid w:val="000E2E70"/>
    <w:rsid w:val="000E527B"/>
    <w:rsid w:val="000E6942"/>
    <w:rsid w:val="000F7847"/>
    <w:rsid w:val="00100576"/>
    <w:rsid w:val="00101060"/>
    <w:rsid w:val="001116E5"/>
    <w:rsid w:val="00151B1B"/>
    <w:rsid w:val="001624EF"/>
    <w:rsid w:val="00163202"/>
    <w:rsid w:val="00164138"/>
    <w:rsid w:val="00170688"/>
    <w:rsid w:val="001839D0"/>
    <w:rsid w:val="001B4253"/>
    <w:rsid w:val="001B750E"/>
    <w:rsid w:val="001C0694"/>
    <w:rsid w:val="001D36C2"/>
    <w:rsid w:val="001D4917"/>
    <w:rsid w:val="001D5C2E"/>
    <w:rsid w:val="001D6EC0"/>
    <w:rsid w:val="001E1BFD"/>
    <w:rsid w:val="001F4832"/>
    <w:rsid w:val="00204DA5"/>
    <w:rsid w:val="00230BA5"/>
    <w:rsid w:val="00232805"/>
    <w:rsid w:val="00232B31"/>
    <w:rsid w:val="002353C4"/>
    <w:rsid w:val="0024022E"/>
    <w:rsid w:val="00241261"/>
    <w:rsid w:val="002657D4"/>
    <w:rsid w:val="002742E0"/>
    <w:rsid w:val="002753BC"/>
    <w:rsid w:val="002C72FF"/>
    <w:rsid w:val="002E1227"/>
    <w:rsid w:val="00303DBF"/>
    <w:rsid w:val="0031365E"/>
    <w:rsid w:val="00316F49"/>
    <w:rsid w:val="00321CA4"/>
    <w:rsid w:val="00324A1C"/>
    <w:rsid w:val="00327BDF"/>
    <w:rsid w:val="00331903"/>
    <w:rsid w:val="003325BB"/>
    <w:rsid w:val="00332C79"/>
    <w:rsid w:val="0033770E"/>
    <w:rsid w:val="00337E8C"/>
    <w:rsid w:val="00352F85"/>
    <w:rsid w:val="00355D60"/>
    <w:rsid w:val="00363844"/>
    <w:rsid w:val="003823E2"/>
    <w:rsid w:val="00382CB7"/>
    <w:rsid w:val="003A6E69"/>
    <w:rsid w:val="003B7625"/>
    <w:rsid w:val="003C5D4B"/>
    <w:rsid w:val="003D1F18"/>
    <w:rsid w:val="003E79CC"/>
    <w:rsid w:val="003F0B3C"/>
    <w:rsid w:val="00402F2D"/>
    <w:rsid w:val="00410594"/>
    <w:rsid w:val="0041319B"/>
    <w:rsid w:val="00422FDF"/>
    <w:rsid w:val="00423297"/>
    <w:rsid w:val="00432762"/>
    <w:rsid w:val="0043412A"/>
    <w:rsid w:val="00444C5A"/>
    <w:rsid w:val="00446209"/>
    <w:rsid w:val="00447056"/>
    <w:rsid w:val="0045086D"/>
    <w:rsid w:val="00456F6F"/>
    <w:rsid w:val="004718ED"/>
    <w:rsid w:val="004858E4"/>
    <w:rsid w:val="0049247E"/>
    <w:rsid w:val="00493DA9"/>
    <w:rsid w:val="004A72B3"/>
    <w:rsid w:val="004C5817"/>
    <w:rsid w:val="004C644B"/>
    <w:rsid w:val="004E4AA3"/>
    <w:rsid w:val="00505EEF"/>
    <w:rsid w:val="00512E91"/>
    <w:rsid w:val="005151E9"/>
    <w:rsid w:val="005159B3"/>
    <w:rsid w:val="00520722"/>
    <w:rsid w:val="00527B82"/>
    <w:rsid w:val="0053738A"/>
    <w:rsid w:val="00543C62"/>
    <w:rsid w:val="00544050"/>
    <w:rsid w:val="00563CF5"/>
    <w:rsid w:val="00574D28"/>
    <w:rsid w:val="00574E73"/>
    <w:rsid w:val="005817D8"/>
    <w:rsid w:val="00582CFC"/>
    <w:rsid w:val="00586DCE"/>
    <w:rsid w:val="00591807"/>
    <w:rsid w:val="005924B6"/>
    <w:rsid w:val="005B4DF4"/>
    <w:rsid w:val="005D0C02"/>
    <w:rsid w:val="005D54A0"/>
    <w:rsid w:val="005D5595"/>
    <w:rsid w:val="005F4DE5"/>
    <w:rsid w:val="00610D2D"/>
    <w:rsid w:val="00614562"/>
    <w:rsid w:val="006158CA"/>
    <w:rsid w:val="00617C12"/>
    <w:rsid w:val="00622078"/>
    <w:rsid w:val="006361D6"/>
    <w:rsid w:val="00637BD0"/>
    <w:rsid w:val="00640798"/>
    <w:rsid w:val="0064391C"/>
    <w:rsid w:val="0066271C"/>
    <w:rsid w:val="006637C3"/>
    <w:rsid w:val="00671825"/>
    <w:rsid w:val="00673D00"/>
    <w:rsid w:val="006755FC"/>
    <w:rsid w:val="006776DC"/>
    <w:rsid w:val="00684014"/>
    <w:rsid w:val="00690C0A"/>
    <w:rsid w:val="00692937"/>
    <w:rsid w:val="00693B79"/>
    <w:rsid w:val="006A0512"/>
    <w:rsid w:val="006A12B8"/>
    <w:rsid w:val="006A5BEF"/>
    <w:rsid w:val="006A7C63"/>
    <w:rsid w:val="006B2191"/>
    <w:rsid w:val="006B3903"/>
    <w:rsid w:val="006C050D"/>
    <w:rsid w:val="006D0BF5"/>
    <w:rsid w:val="006E4C30"/>
    <w:rsid w:val="006E5F49"/>
    <w:rsid w:val="006F1244"/>
    <w:rsid w:val="006F15BF"/>
    <w:rsid w:val="006F2EF0"/>
    <w:rsid w:val="007045B9"/>
    <w:rsid w:val="00704D3A"/>
    <w:rsid w:val="00706C64"/>
    <w:rsid w:val="00711CFB"/>
    <w:rsid w:val="007205E8"/>
    <w:rsid w:val="007242BB"/>
    <w:rsid w:val="007242C7"/>
    <w:rsid w:val="0074033B"/>
    <w:rsid w:val="00745D31"/>
    <w:rsid w:val="00755896"/>
    <w:rsid w:val="00757FDD"/>
    <w:rsid w:val="0076590F"/>
    <w:rsid w:val="00782C6F"/>
    <w:rsid w:val="00785122"/>
    <w:rsid w:val="00786B87"/>
    <w:rsid w:val="00790D78"/>
    <w:rsid w:val="007A1DC6"/>
    <w:rsid w:val="007A7747"/>
    <w:rsid w:val="007B60D4"/>
    <w:rsid w:val="007B7430"/>
    <w:rsid w:val="007F121A"/>
    <w:rsid w:val="00800418"/>
    <w:rsid w:val="00831B35"/>
    <w:rsid w:val="0083729C"/>
    <w:rsid w:val="00850559"/>
    <w:rsid w:val="0085576F"/>
    <w:rsid w:val="0086572B"/>
    <w:rsid w:val="008667E3"/>
    <w:rsid w:val="00872A6C"/>
    <w:rsid w:val="00880CAC"/>
    <w:rsid w:val="008813AE"/>
    <w:rsid w:val="00893439"/>
    <w:rsid w:val="00896571"/>
    <w:rsid w:val="00897288"/>
    <w:rsid w:val="008A6D05"/>
    <w:rsid w:val="008B3787"/>
    <w:rsid w:val="008B75B0"/>
    <w:rsid w:val="008D59C7"/>
    <w:rsid w:val="008F0FE1"/>
    <w:rsid w:val="00913C32"/>
    <w:rsid w:val="00932BA1"/>
    <w:rsid w:val="009431DF"/>
    <w:rsid w:val="00945C67"/>
    <w:rsid w:val="00971C40"/>
    <w:rsid w:val="00976926"/>
    <w:rsid w:val="00990825"/>
    <w:rsid w:val="00992403"/>
    <w:rsid w:val="00993F48"/>
    <w:rsid w:val="009948FA"/>
    <w:rsid w:val="009A336F"/>
    <w:rsid w:val="009A5296"/>
    <w:rsid w:val="009B0FFF"/>
    <w:rsid w:val="009E392D"/>
    <w:rsid w:val="009F0BC5"/>
    <w:rsid w:val="009F6649"/>
    <w:rsid w:val="009F7733"/>
    <w:rsid w:val="00A074DF"/>
    <w:rsid w:val="00A14754"/>
    <w:rsid w:val="00A21C7C"/>
    <w:rsid w:val="00A257A3"/>
    <w:rsid w:val="00A30B82"/>
    <w:rsid w:val="00A3416A"/>
    <w:rsid w:val="00A43E02"/>
    <w:rsid w:val="00A56913"/>
    <w:rsid w:val="00A66F88"/>
    <w:rsid w:val="00A670C0"/>
    <w:rsid w:val="00A84A59"/>
    <w:rsid w:val="00A935A9"/>
    <w:rsid w:val="00A9441F"/>
    <w:rsid w:val="00AA55A4"/>
    <w:rsid w:val="00AB388D"/>
    <w:rsid w:val="00AB3C27"/>
    <w:rsid w:val="00AB5EF3"/>
    <w:rsid w:val="00AD794E"/>
    <w:rsid w:val="00AF32FB"/>
    <w:rsid w:val="00AF42C3"/>
    <w:rsid w:val="00B0377F"/>
    <w:rsid w:val="00B07574"/>
    <w:rsid w:val="00B138F6"/>
    <w:rsid w:val="00B27785"/>
    <w:rsid w:val="00B3598C"/>
    <w:rsid w:val="00B41649"/>
    <w:rsid w:val="00BA4ACF"/>
    <w:rsid w:val="00BB2AEB"/>
    <w:rsid w:val="00BB5EBC"/>
    <w:rsid w:val="00BB7509"/>
    <w:rsid w:val="00BB7625"/>
    <w:rsid w:val="00BC0866"/>
    <w:rsid w:val="00BE4401"/>
    <w:rsid w:val="00BF02F5"/>
    <w:rsid w:val="00BF56CC"/>
    <w:rsid w:val="00C02485"/>
    <w:rsid w:val="00C11231"/>
    <w:rsid w:val="00C175FF"/>
    <w:rsid w:val="00C219D3"/>
    <w:rsid w:val="00C21CA1"/>
    <w:rsid w:val="00C33EFF"/>
    <w:rsid w:val="00C609CC"/>
    <w:rsid w:val="00C62BD2"/>
    <w:rsid w:val="00C637D9"/>
    <w:rsid w:val="00C87A01"/>
    <w:rsid w:val="00C9385E"/>
    <w:rsid w:val="00CD5FD6"/>
    <w:rsid w:val="00CE0736"/>
    <w:rsid w:val="00CE7BC4"/>
    <w:rsid w:val="00CF74D8"/>
    <w:rsid w:val="00D07B08"/>
    <w:rsid w:val="00D14341"/>
    <w:rsid w:val="00D20089"/>
    <w:rsid w:val="00D23FA9"/>
    <w:rsid w:val="00D4646C"/>
    <w:rsid w:val="00D5404A"/>
    <w:rsid w:val="00D554D2"/>
    <w:rsid w:val="00D55841"/>
    <w:rsid w:val="00D60FEC"/>
    <w:rsid w:val="00D63BE2"/>
    <w:rsid w:val="00D70744"/>
    <w:rsid w:val="00D80F11"/>
    <w:rsid w:val="00D9312B"/>
    <w:rsid w:val="00D94274"/>
    <w:rsid w:val="00DA5976"/>
    <w:rsid w:val="00DA6960"/>
    <w:rsid w:val="00DB77FE"/>
    <w:rsid w:val="00DC18FB"/>
    <w:rsid w:val="00DC19DD"/>
    <w:rsid w:val="00DD6D33"/>
    <w:rsid w:val="00DE1C7A"/>
    <w:rsid w:val="00DF26C0"/>
    <w:rsid w:val="00DF3FC9"/>
    <w:rsid w:val="00E04075"/>
    <w:rsid w:val="00E12A71"/>
    <w:rsid w:val="00E17ACC"/>
    <w:rsid w:val="00E41C99"/>
    <w:rsid w:val="00E461E8"/>
    <w:rsid w:val="00E472AB"/>
    <w:rsid w:val="00E56938"/>
    <w:rsid w:val="00E60AD2"/>
    <w:rsid w:val="00E7149D"/>
    <w:rsid w:val="00E749FE"/>
    <w:rsid w:val="00E770F2"/>
    <w:rsid w:val="00E77825"/>
    <w:rsid w:val="00E8413E"/>
    <w:rsid w:val="00E84611"/>
    <w:rsid w:val="00E9317D"/>
    <w:rsid w:val="00E94DBB"/>
    <w:rsid w:val="00EB0DDB"/>
    <w:rsid w:val="00EB5E6A"/>
    <w:rsid w:val="00EC2592"/>
    <w:rsid w:val="00ED3098"/>
    <w:rsid w:val="00ED5202"/>
    <w:rsid w:val="00EE5BA0"/>
    <w:rsid w:val="00EF2627"/>
    <w:rsid w:val="00EF47A4"/>
    <w:rsid w:val="00F04599"/>
    <w:rsid w:val="00F04F5D"/>
    <w:rsid w:val="00F30A59"/>
    <w:rsid w:val="00F56C88"/>
    <w:rsid w:val="00F81A1F"/>
    <w:rsid w:val="00F91EF3"/>
    <w:rsid w:val="00FA0874"/>
    <w:rsid w:val="00FB31B9"/>
    <w:rsid w:val="00FD1778"/>
    <w:rsid w:val="00FD6E83"/>
    <w:rsid w:val="00FE2CA4"/>
    <w:rsid w:val="00FE6728"/>
    <w:rsid w:val="00FE677C"/>
    <w:rsid w:val="00FF3A9B"/>
    <w:rsid w:val="00FF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BB5A4"/>
  <w15:chartTrackingRefBased/>
  <w15:docId w15:val="{61187647-EC28-CB45-8FFE-BD2DE746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5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71"/>
    <w:rPr>
      <w:rFonts w:eastAsiaTheme="majorEastAsia" w:cstheme="majorBidi"/>
      <w:color w:val="272727" w:themeColor="text1" w:themeTint="D8"/>
    </w:rPr>
  </w:style>
  <w:style w:type="paragraph" w:styleId="Title">
    <w:name w:val="Title"/>
    <w:basedOn w:val="Normal"/>
    <w:next w:val="Normal"/>
    <w:link w:val="TitleChar"/>
    <w:uiPriority w:val="10"/>
    <w:qFormat/>
    <w:rsid w:val="008965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571"/>
    <w:rPr>
      <w:i/>
      <w:iCs/>
      <w:color w:val="404040" w:themeColor="text1" w:themeTint="BF"/>
    </w:rPr>
  </w:style>
  <w:style w:type="paragraph" w:styleId="ListParagraph">
    <w:name w:val="List Paragraph"/>
    <w:basedOn w:val="Normal"/>
    <w:uiPriority w:val="34"/>
    <w:qFormat/>
    <w:rsid w:val="00896571"/>
    <w:pPr>
      <w:ind w:left="720"/>
      <w:contextualSpacing/>
    </w:pPr>
  </w:style>
  <w:style w:type="character" w:styleId="IntenseEmphasis">
    <w:name w:val="Intense Emphasis"/>
    <w:basedOn w:val="DefaultParagraphFont"/>
    <w:uiPriority w:val="21"/>
    <w:qFormat/>
    <w:rsid w:val="00896571"/>
    <w:rPr>
      <w:i/>
      <w:iCs/>
      <w:color w:val="0F4761" w:themeColor="accent1" w:themeShade="BF"/>
    </w:rPr>
  </w:style>
  <w:style w:type="paragraph" w:styleId="IntenseQuote">
    <w:name w:val="Intense Quote"/>
    <w:basedOn w:val="Normal"/>
    <w:next w:val="Normal"/>
    <w:link w:val="IntenseQuoteChar"/>
    <w:uiPriority w:val="30"/>
    <w:qFormat/>
    <w:rsid w:val="0089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571"/>
    <w:rPr>
      <w:i/>
      <w:iCs/>
      <w:color w:val="0F4761" w:themeColor="accent1" w:themeShade="BF"/>
    </w:rPr>
  </w:style>
  <w:style w:type="character" w:styleId="IntenseReference">
    <w:name w:val="Intense Reference"/>
    <w:basedOn w:val="DefaultParagraphFont"/>
    <w:uiPriority w:val="32"/>
    <w:qFormat/>
    <w:rsid w:val="00896571"/>
    <w:rPr>
      <w:b/>
      <w:bCs/>
      <w:smallCaps/>
      <w:color w:val="0F4761" w:themeColor="accent1" w:themeShade="BF"/>
      <w:spacing w:val="5"/>
    </w:rPr>
  </w:style>
  <w:style w:type="paragraph" w:styleId="NormalWeb">
    <w:name w:val="Normal (Web)"/>
    <w:basedOn w:val="Normal"/>
    <w:uiPriority w:val="99"/>
    <w:unhideWhenUsed/>
    <w:rsid w:val="0089657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96571"/>
    <w:rPr>
      <w:color w:val="467886" w:themeColor="hyperlink"/>
      <w:u w:val="single"/>
    </w:rPr>
  </w:style>
  <w:style w:type="character" w:styleId="UnresolvedMention">
    <w:name w:val="Unresolved Mention"/>
    <w:basedOn w:val="DefaultParagraphFont"/>
    <w:uiPriority w:val="99"/>
    <w:semiHidden/>
    <w:unhideWhenUsed/>
    <w:rsid w:val="00896571"/>
    <w:rPr>
      <w:color w:val="605E5C"/>
      <w:shd w:val="clear" w:color="auto" w:fill="E1DFDD"/>
    </w:rPr>
  </w:style>
  <w:style w:type="paragraph" w:styleId="FootnoteText">
    <w:name w:val="footnote text"/>
    <w:basedOn w:val="Normal"/>
    <w:link w:val="FootnoteTextChar"/>
    <w:uiPriority w:val="99"/>
    <w:semiHidden/>
    <w:unhideWhenUsed/>
    <w:rsid w:val="00640798"/>
    <w:rPr>
      <w:sz w:val="20"/>
      <w:szCs w:val="20"/>
    </w:rPr>
  </w:style>
  <w:style w:type="character" w:customStyle="1" w:styleId="FootnoteTextChar">
    <w:name w:val="Footnote Text Char"/>
    <w:basedOn w:val="DefaultParagraphFont"/>
    <w:link w:val="FootnoteText"/>
    <w:uiPriority w:val="99"/>
    <w:semiHidden/>
    <w:rsid w:val="00640798"/>
    <w:rPr>
      <w:sz w:val="20"/>
      <w:szCs w:val="20"/>
    </w:rPr>
  </w:style>
  <w:style w:type="character" w:styleId="FootnoteReference">
    <w:name w:val="footnote reference"/>
    <w:basedOn w:val="DefaultParagraphFont"/>
    <w:uiPriority w:val="99"/>
    <w:semiHidden/>
    <w:unhideWhenUsed/>
    <w:rsid w:val="00640798"/>
    <w:rPr>
      <w:vertAlign w:val="superscript"/>
    </w:rPr>
  </w:style>
  <w:style w:type="paragraph" w:styleId="Header">
    <w:name w:val="header"/>
    <w:basedOn w:val="Normal"/>
    <w:link w:val="HeaderChar"/>
    <w:uiPriority w:val="99"/>
    <w:unhideWhenUsed/>
    <w:rsid w:val="00006AD4"/>
    <w:pPr>
      <w:tabs>
        <w:tab w:val="center" w:pos="4513"/>
        <w:tab w:val="right" w:pos="9026"/>
      </w:tabs>
    </w:pPr>
  </w:style>
  <w:style w:type="character" w:customStyle="1" w:styleId="HeaderChar">
    <w:name w:val="Header Char"/>
    <w:basedOn w:val="DefaultParagraphFont"/>
    <w:link w:val="Header"/>
    <w:uiPriority w:val="99"/>
    <w:rsid w:val="00006AD4"/>
  </w:style>
  <w:style w:type="paragraph" w:styleId="Footer">
    <w:name w:val="footer"/>
    <w:basedOn w:val="Normal"/>
    <w:link w:val="FooterChar"/>
    <w:uiPriority w:val="99"/>
    <w:unhideWhenUsed/>
    <w:rsid w:val="00006AD4"/>
    <w:pPr>
      <w:tabs>
        <w:tab w:val="center" w:pos="4513"/>
        <w:tab w:val="right" w:pos="9026"/>
      </w:tabs>
    </w:pPr>
  </w:style>
  <w:style w:type="character" w:customStyle="1" w:styleId="FooterChar">
    <w:name w:val="Footer Char"/>
    <w:basedOn w:val="DefaultParagraphFont"/>
    <w:link w:val="Footer"/>
    <w:uiPriority w:val="99"/>
    <w:rsid w:val="00006AD4"/>
  </w:style>
  <w:style w:type="paragraph" w:styleId="Revision">
    <w:name w:val="Revision"/>
    <w:hidden/>
    <w:uiPriority w:val="99"/>
    <w:semiHidden/>
    <w:rsid w:val="006F1244"/>
  </w:style>
  <w:style w:type="character" w:styleId="CommentReference">
    <w:name w:val="annotation reference"/>
    <w:basedOn w:val="DefaultParagraphFont"/>
    <w:uiPriority w:val="99"/>
    <w:semiHidden/>
    <w:unhideWhenUsed/>
    <w:rsid w:val="00563CF5"/>
    <w:rPr>
      <w:sz w:val="16"/>
      <w:szCs w:val="16"/>
    </w:rPr>
  </w:style>
  <w:style w:type="paragraph" w:styleId="CommentText">
    <w:name w:val="annotation text"/>
    <w:basedOn w:val="Normal"/>
    <w:link w:val="CommentTextChar"/>
    <w:uiPriority w:val="99"/>
    <w:unhideWhenUsed/>
    <w:rsid w:val="00563CF5"/>
    <w:rPr>
      <w:sz w:val="20"/>
      <w:szCs w:val="20"/>
    </w:rPr>
  </w:style>
  <w:style w:type="character" w:customStyle="1" w:styleId="CommentTextChar">
    <w:name w:val="Comment Text Char"/>
    <w:basedOn w:val="DefaultParagraphFont"/>
    <w:link w:val="CommentText"/>
    <w:uiPriority w:val="99"/>
    <w:rsid w:val="00563CF5"/>
    <w:rPr>
      <w:sz w:val="20"/>
      <w:szCs w:val="20"/>
    </w:rPr>
  </w:style>
  <w:style w:type="paragraph" w:styleId="CommentSubject">
    <w:name w:val="annotation subject"/>
    <w:basedOn w:val="CommentText"/>
    <w:next w:val="CommentText"/>
    <w:link w:val="CommentSubjectChar"/>
    <w:uiPriority w:val="99"/>
    <w:semiHidden/>
    <w:unhideWhenUsed/>
    <w:rsid w:val="00563CF5"/>
    <w:rPr>
      <w:b/>
      <w:bCs/>
    </w:rPr>
  </w:style>
  <w:style w:type="character" w:customStyle="1" w:styleId="CommentSubjectChar">
    <w:name w:val="Comment Subject Char"/>
    <w:basedOn w:val="CommentTextChar"/>
    <w:link w:val="CommentSubject"/>
    <w:uiPriority w:val="99"/>
    <w:semiHidden/>
    <w:rsid w:val="00563CF5"/>
    <w:rPr>
      <w:b/>
      <w:bCs/>
      <w:sz w:val="20"/>
      <w:szCs w:val="20"/>
    </w:rPr>
  </w:style>
  <w:style w:type="character" w:styleId="Emphasis">
    <w:name w:val="Emphasis"/>
    <w:basedOn w:val="DefaultParagraphFont"/>
    <w:uiPriority w:val="20"/>
    <w:qFormat/>
    <w:rsid w:val="00C87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hryn.allinson@bristol.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hcr.org/global-trends-report-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20B9-02F7-C74F-B359-448C68B3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6128</Characters>
  <Application>Microsoft Office Word</Application>
  <DocSecurity>0</DocSecurity>
  <Lines>115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Allinson</dc:creator>
  <cp:keywords/>
  <dc:description/>
  <cp:lastModifiedBy>Paige Spicer</cp:lastModifiedBy>
  <cp:revision>3</cp:revision>
  <dcterms:created xsi:type="dcterms:W3CDTF">2025-10-14T14:21:00Z</dcterms:created>
  <dcterms:modified xsi:type="dcterms:W3CDTF">2025-10-14T14:22:00Z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111b0247-83a2-4407-a06d-6b9e6f5dec3d</vt:lpwstr>
  </property>
  <property fmtid="{D5CDD505-2E9C-101B-9397-08002B2CF9AE}" pid="3" name="ZOTERO_PREF_1">
    <vt:lpwstr>&lt;data data-version="3" zotero-version="7.0.24"&gt;&lt;session id="1oFW5Lnu"/&gt;&lt;style id="http://www.zotero.org/styles/oscola" hasBibliography="1" bibliographyStyleHasBeenSet="0"/&gt;&lt;prefs&gt;&lt;pref name="fieldType" value="Field"/&gt;&lt;pref name="automaticJournalAbbreviati</vt:lpwstr>
  </property>
  <property fmtid="{D5CDD505-2E9C-101B-9397-08002B2CF9AE}" pid="4" name="ZOTERO_PREF_2">
    <vt:lpwstr>ons" value="true"/&gt;&lt;pref name="noteType" value="1"/&gt;&lt;/prefs&gt;&lt;/data&gt;</vt:lpwstr>
  </property>
</Properties>
</file>